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4D5" w:rsidRDefault="001754D5" w:rsidP="001754D5">
      <w:bookmarkStart w:id="0" w:name="_GoBack"/>
      <w:bookmarkEnd w:id="0"/>
      <w:r>
        <w:t>Zamawiający:</w:t>
      </w:r>
      <w:r>
        <w:tab/>
      </w:r>
      <w:r>
        <w:tab/>
      </w:r>
      <w:r>
        <w:tab/>
      </w:r>
      <w:r>
        <w:tab/>
      </w:r>
      <w:r>
        <w:tab/>
      </w:r>
      <w:r>
        <w:tab/>
        <w:t xml:space="preserve">         Jordanów Śląski, dnia </w:t>
      </w:r>
      <w:r w:rsidR="009A1CBC">
        <w:t>1 kwietnia</w:t>
      </w:r>
      <w:r w:rsidR="00B71C17">
        <w:t xml:space="preserve"> </w:t>
      </w:r>
      <w:r>
        <w:t>2026r.</w:t>
      </w:r>
    </w:p>
    <w:p w:rsidR="001754D5" w:rsidRPr="0054447C" w:rsidRDefault="001754D5" w:rsidP="001754D5">
      <w:pPr>
        <w:spacing w:after="0" w:line="240" w:lineRule="auto"/>
        <w:rPr>
          <w:b/>
        </w:rPr>
      </w:pPr>
      <w:r w:rsidRPr="0054447C">
        <w:rPr>
          <w:b/>
        </w:rPr>
        <w:t>Gmina Jordanów Śląski</w:t>
      </w:r>
    </w:p>
    <w:p w:rsidR="001754D5" w:rsidRPr="0054447C" w:rsidRDefault="00C35401" w:rsidP="001754D5">
      <w:pPr>
        <w:spacing w:after="0" w:line="240" w:lineRule="auto"/>
        <w:rPr>
          <w:b/>
        </w:rPr>
      </w:pPr>
      <w:r>
        <w:rPr>
          <w:b/>
        </w:rPr>
        <w:t>u</w:t>
      </w:r>
      <w:r w:rsidR="001754D5" w:rsidRPr="0054447C">
        <w:rPr>
          <w:b/>
        </w:rPr>
        <w:t>l. Wrocławska 55</w:t>
      </w:r>
    </w:p>
    <w:p w:rsidR="001754D5" w:rsidRPr="0054447C" w:rsidRDefault="001754D5" w:rsidP="001754D5">
      <w:pPr>
        <w:spacing w:after="0" w:line="240" w:lineRule="auto"/>
        <w:rPr>
          <w:b/>
        </w:rPr>
      </w:pPr>
      <w:r w:rsidRPr="0054447C">
        <w:rPr>
          <w:b/>
        </w:rPr>
        <w:t>55-065 Jordanów Śląski</w:t>
      </w:r>
    </w:p>
    <w:p w:rsidR="001754D5" w:rsidRDefault="001754D5" w:rsidP="001754D5"/>
    <w:p w:rsidR="001754D5" w:rsidRDefault="00B71C17" w:rsidP="001754D5">
      <w:r>
        <w:t>dot. ZP.271.1.2026</w:t>
      </w:r>
    </w:p>
    <w:p w:rsidR="001754D5" w:rsidRPr="00F67EC4" w:rsidRDefault="001754D5" w:rsidP="001754D5">
      <w:pPr>
        <w:rPr>
          <w:b/>
        </w:rPr>
      </w:pPr>
      <w:r>
        <w:tab/>
      </w:r>
      <w:r>
        <w:tab/>
      </w:r>
      <w:r>
        <w:tab/>
      </w:r>
      <w:r>
        <w:tab/>
      </w:r>
      <w:r>
        <w:tab/>
      </w:r>
      <w:r>
        <w:tab/>
      </w:r>
      <w:r>
        <w:tab/>
      </w:r>
      <w:r w:rsidRPr="00F67EC4">
        <w:rPr>
          <w:b/>
        </w:rPr>
        <w:t>Uczestnicy postępowania</w:t>
      </w:r>
    </w:p>
    <w:p w:rsidR="001754D5" w:rsidRDefault="001754D5" w:rsidP="006456D1">
      <w:pPr>
        <w:spacing w:after="0" w:line="269" w:lineRule="auto"/>
        <w:jc w:val="both"/>
        <w:rPr>
          <w:b/>
          <w:sz w:val="20"/>
          <w:szCs w:val="20"/>
        </w:rPr>
      </w:pPr>
    </w:p>
    <w:p w:rsidR="00B71C17" w:rsidRPr="00B71C17" w:rsidRDefault="00B71C17" w:rsidP="008F0150">
      <w:pPr>
        <w:suppressAutoHyphens/>
        <w:autoSpaceDN w:val="0"/>
        <w:spacing w:after="200" w:line="276" w:lineRule="auto"/>
        <w:ind w:firstLine="709"/>
        <w:jc w:val="both"/>
        <w:textAlignment w:val="baseline"/>
      </w:pPr>
      <w:r w:rsidRPr="00B71C17">
        <w:rPr>
          <w:rFonts w:eastAsia="Times New Roman" w:cstheme="minorHAnsi"/>
          <w:lang w:eastAsia="pl-PL"/>
        </w:rPr>
        <w:t>Działając w oparciu o art. 284 ust. 1, 2 i 6 ustawy z dnia 11 września 2019 r. Prawo zamówień publicznych (</w:t>
      </w:r>
      <w:proofErr w:type="spellStart"/>
      <w:r w:rsidRPr="00B71C17">
        <w:rPr>
          <w:rFonts w:eastAsia="Times New Roman" w:cstheme="minorHAnsi"/>
          <w:lang w:eastAsia="pl-PL"/>
        </w:rPr>
        <w:t>t.j</w:t>
      </w:r>
      <w:proofErr w:type="spellEnd"/>
      <w:r w:rsidRPr="00B71C17">
        <w:rPr>
          <w:rFonts w:eastAsia="Times New Roman" w:cstheme="minorHAnsi"/>
          <w:lang w:eastAsia="pl-PL"/>
        </w:rPr>
        <w:t>. Dz. U. z 20</w:t>
      </w:r>
      <w:r w:rsidR="00A03F37">
        <w:rPr>
          <w:rFonts w:eastAsia="Times New Roman" w:cstheme="minorHAnsi"/>
          <w:lang w:eastAsia="pl-PL"/>
        </w:rPr>
        <w:t>24 r. poz. 1320 ze zm.</w:t>
      </w:r>
      <w:r w:rsidRPr="00B71C17">
        <w:rPr>
          <w:rFonts w:eastAsia="Times New Roman" w:cstheme="minorHAnsi"/>
          <w:lang w:eastAsia="pl-PL"/>
        </w:rPr>
        <w:t xml:space="preserve">), Zamawiający – Gmina </w:t>
      </w:r>
      <w:r w:rsidR="007B7CFD">
        <w:rPr>
          <w:rFonts w:eastAsia="Times New Roman" w:cstheme="minorHAnsi"/>
          <w:lang w:eastAsia="pl-PL"/>
        </w:rPr>
        <w:t xml:space="preserve">Jordanów Śląski udziela </w:t>
      </w:r>
      <w:r w:rsidRPr="00B71C17">
        <w:rPr>
          <w:rFonts w:eastAsia="Times New Roman" w:cstheme="minorHAnsi"/>
          <w:lang w:eastAsia="pl-PL"/>
        </w:rPr>
        <w:t>odpow</w:t>
      </w:r>
      <w:r w:rsidR="001364A0">
        <w:rPr>
          <w:rFonts w:eastAsia="Times New Roman" w:cstheme="minorHAnsi"/>
          <w:lang w:eastAsia="pl-PL"/>
        </w:rPr>
        <w:t>iedzi na złożone przez Wykonawców</w:t>
      </w:r>
      <w:r w:rsidRPr="00B71C17">
        <w:rPr>
          <w:rFonts w:eastAsia="Times New Roman" w:cstheme="minorHAnsi"/>
          <w:lang w:eastAsia="pl-PL"/>
        </w:rPr>
        <w:t xml:space="preserve"> wniosk</w:t>
      </w:r>
      <w:r w:rsidR="001364A0">
        <w:rPr>
          <w:rFonts w:eastAsia="Times New Roman" w:cstheme="minorHAnsi"/>
          <w:lang w:eastAsia="pl-PL"/>
        </w:rPr>
        <w:t>i</w:t>
      </w:r>
      <w:r w:rsidRPr="00B71C17">
        <w:rPr>
          <w:rFonts w:eastAsia="Times New Roman" w:cstheme="minorHAnsi"/>
          <w:lang w:eastAsia="pl-PL"/>
        </w:rPr>
        <w:t xml:space="preserve"> o wyjaśnienie treści SWZ w postępowaniu prowadzonym w trybie podstawowym, o którym mowa w art. 275 pkt 1 u </w:t>
      </w:r>
      <w:proofErr w:type="spellStart"/>
      <w:r w:rsidRPr="00B71C17">
        <w:rPr>
          <w:rFonts w:eastAsia="Times New Roman" w:cstheme="minorHAnsi"/>
          <w:lang w:eastAsia="pl-PL"/>
        </w:rPr>
        <w:t>Pzp</w:t>
      </w:r>
      <w:proofErr w:type="spellEnd"/>
      <w:r w:rsidRPr="00B71C17">
        <w:rPr>
          <w:rFonts w:eastAsia="Times New Roman" w:cstheme="minorHAnsi"/>
          <w:lang w:eastAsia="pl-PL"/>
        </w:rPr>
        <w:t xml:space="preserve"> na zadanie pn. </w:t>
      </w:r>
      <w:r w:rsidRPr="00B71C17">
        <w:rPr>
          <w:b/>
        </w:rPr>
        <w:t xml:space="preserve"> </w:t>
      </w:r>
      <w:r w:rsidRPr="00B71C17">
        <w:rPr>
          <w:rFonts w:eastAsia="Times New Roman" w:cs="Calibri"/>
          <w:b/>
          <w:bCs/>
          <w:i/>
          <w:lang w:eastAsia="ar-SA"/>
        </w:rPr>
        <w:t>„Przebudowa boiska sportowego na sztuczną nawierzchnię wraz  z budową bieżni o długości 120m oraz skoczni w dal wraz z niezbędną dokumentacją projektową”</w:t>
      </w:r>
      <w:r w:rsidRPr="00B71C17">
        <w:rPr>
          <w:rFonts w:eastAsia="Times New Roman" w:cs="Calibri"/>
          <w:b/>
          <w:bCs/>
          <w:lang w:eastAsia="ar-SA"/>
        </w:rPr>
        <w:t xml:space="preserve"> w systemie zaprojektuj i wybuduj.</w:t>
      </w:r>
    </w:p>
    <w:p w:rsidR="00C35401" w:rsidRPr="00C35401" w:rsidRDefault="00B71C17" w:rsidP="00B71C17">
      <w:pPr>
        <w:shd w:val="clear" w:color="auto" w:fill="B4C6E7" w:themeFill="accent5" w:themeFillTint="66"/>
        <w:spacing w:after="0" w:line="276" w:lineRule="auto"/>
        <w:rPr>
          <w:rFonts w:cstheme="minorHAnsi"/>
          <w:b/>
        </w:rPr>
      </w:pPr>
      <w:r>
        <w:rPr>
          <w:rFonts w:cstheme="minorHAnsi"/>
          <w:b/>
        </w:rPr>
        <w:t>Pytanie 1</w:t>
      </w:r>
    </w:p>
    <w:p w:rsidR="00A03F37" w:rsidRDefault="001364A0" w:rsidP="001364A0">
      <w:pPr>
        <w:spacing w:after="0" w:line="276" w:lineRule="auto"/>
        <w:jc w:val="both"/>
      </w:pPr>
      <w:r>
        <w:t>Zamawiający ograniczył postępowanie przetargowe do jednego produktu, co jest sprzeczne z Ustawą Zamówień Publicznych. Mamy nadzieję, że Zamawiający zapewni uczciwą konkurencję i dopuści do złożenia ofert przez wykonawców posiadających nawierzchnie najwyższej jakości, dlatego wnioskujemy o modyfikację zapisów i dopuszczenie zmian w zakresie parametrów sztucznej trawy oraz wymaganych dokumentów. Zamawiający ogłasza przetarg ponownie. Może warto rozszerzyć wymagania o produkt ogólnodostępny na rynku, skoro Zamawiający ma ograniczony budżet....</w:t>
      </w:r>
      <w:r>
        <w:br/>
      </w:r>
      <w:r>
        <w:br/>
        <w:t xml:space="preserve">1. Zamawiający wymaga, żeby producent nawierzchni przynależał do grupy FIFA </w:t>
      </w:r>
      <w:proofErr w:type="spellStart"/>
      <w:r>
        <w:t>Preferred</w:t>
      </w:r>
      <w:proofErr w:type="spellEnd"/>
      <w:r>
        <w:t xml:space="preserve"> Provider (FPP). Żądanie aktualnego certyfikatu FPP od producenta trawy jest nie tylko nieuzasadnione realnymi potrzebami Zamawiającego, ale również w istotny sposób ogranicza uczciwą konkurencję. Takie same wymagania stawia się bowiem producentom, którzy mają status FIFA STANDARD LICENSEES, ponieważ przynależność do tej organizacji wiąże się z koniecznością dostarczenia produktów spełniających wymagania FIFA oraz współpracy z firmami wykonawczymi, które muszą sprostać wysokim wymaganiom jakościowym podbudowy i instalacji. Wystarczy bowiem przynależność do organizacji FIFA STANDARD LICENSEES, aby móc uzyskać certyfikat FIFA </w:t>
      </w:r>
      <w:proofErr w:type="spellStart"/>
      <w:r>
        <w:t>Quality</w:t>
      </w:r>
      <w:proofErr w:type="spellEnd"/>
      <w:r>
        <w:t xml:space="preserve"> lub FIFA </w:t>
      </w:r>
      <w:proofErr w:type="spellStart"/>
      <w:r>
        <w:t>Quality</w:t>
      </w:r>
      <w:proofErr w:type="spellEnd"/>
      <w:r>
        <w:t xml:space="preserve"> Pro, co jest wystarczającym gwarantem jakości. Członkostwo nie jest obowiązkowe, a wprowadzenie wymogu takowej przynależności ogranicza w nieuzasadniony sposób krąg potencjalnych dostawców. Tylko pozornie można wybierać oferty od producentów posiadających status FPP, skoro tylko jeden producent ma opisaną przez Zamawiającego sztuczną trawę.</w:t>
      </w:r>
      <w:r>
        <w:br/>
        <w:t>W związku z powyższym Zwracamy się z prośbą o dopuszczenie do przetargu producentów sztucznej trawy ze statusem FIFA STANDARD LICENSEES, którzy są wymienieni na oficjalnej stronie FIFA.</w:t>
      </w:r>
      <w:r>
        <w:br/>
        <w:t xml:space="preserve">2. Czy Zamawiający zaakceptuje sztuczną trawę z kombinacją włókien </w:t>
      </w:r>
      <w:proofErr w:type="spellStart"/>
      <w:r>
        <w:t>monofil</w:t>
      </w:r>
      <w:proofErr w:type="spellEnd"/>
      <w:r>
        <w:t xml:space="preserve"> z </w:t>
      </w:r>
      <w:proofErr w:type="spellStart"/>
      <w:r>
        <w:t>fibrylem</w:t>
      </w:r>
      <w:proofErr w:type="spellEnd"/>
      <w:r>
        <w:t xml:space="preserve"> o grubościach odpowiednio min. 350 mikronów i 100 mikronów (taka mieszanka włókien była akceptowana                              w poprzednim postępowaniu)? </w:t>
      </w:r>
      <w:r>
        <w:br/>
        <w:t>3. Prosimy o akceptację zmiany frakcji wypełnienia naturalnego pochodzenia roślinnego, biologicznego. Wypełnienie naturalne pochodzenia roślinnego, biologicznego musi spełniać następujące parametry:</w:t>
      </w:r>
      <w:r>
        <w:br/>
        <w:t>→ Frakcja: min. 0,8 max. 2,5 mm</w:t>
      </w:r>
      <w:r>
        <w:br/>
      </w:r>
      <w:r>
        <w:lastRenderedPageBreak/>
        <w:t>→ Gęstość nasypowa: min. 0,300 g/cm3 max 0,500 g/cm3</w:t>
      </w:r>
      <w:r>
        <w:br/>
        <w:t>4. Proponowane dokumenty dla trawy syntetycznej:</w:t>
      </w:r>
      <w:r>
        <w:br/>
        <w:t>a) Raport z badań laboratoryjnych przeprowadzony przez laboratorium niezależne, akredytowane zgodnie z ISO/IEC 17025:2018, dotyczący oferowanego systemu tj. trawy syntetycznej, wypełnienia i maty, potwierdzający zgodność z aktualną normą EN 15330-1:2013/PN-EN 15330-1:2014-02 oraz potwierdzający minimalne parametry określone przez Zamawiającego;</w:t>
      </w:r>
      <w:r>
        <w:br/>
        <w:t>b) Karta techniczna oferowanej nawierzchni poświadczona przez jej producenta;</w:t>
      </w:r>
      <w:r>
        <w:br/>
        <w:t>c) Aktualny certyfikat potwierdzający posiadanie przez producenta statusu FIFA PREFERRED PRODUCER (FPP) lub posiadanie statusu licencjobiorcy FIFA;</w:t>
      </w:r>
      <w:r>
        <w:br/>
        <w:t>d) Atest PZH dla oferowanej trawy syntetycznej;</w:t>
      </w:r>
      <w:r>
        <w:br/>
        <w:t>e) Atest PZH dla maty amortyzującej;</w:t>
      </w:r>
      <w:r>
        <w:br/>
        <w:t>f) Autoryzacja producenta trawy syntetycznej, wystawiona dla wykonawcy na realizowaną inwestycję wraz z potwierdzeniem gwarancji udzielonej przez producenta na nawierzchnię.</w:t>
      </w:r>
    </w:p>
    <w:p w:rsidR="00A03F37" w:rsidRPr="008F0150" w:rsidRDefault="00A03F37" w:rsidP="00A03F37">
      <w:pPr>
        <w:shd w:val="clear" w:color="auto" w:fill="A8D08D" w:themeFill="accent6" w:themeFillTint="99"/>
        <w:spacing w:after="0" w:line="276" w:lineRule="auto"/>
        <w:rPr>
          <w:rFonts w:cstheme="minorHAnsi"/>
          <w:b/>
        </w:rPr>
      </w:pPr>
      <w:r w:rsidRPr="008F0150">
        <w:rPr>
          <w:rFonts w:cstheme="minorHAnsi"/>
          <w:b/>
        </w:rPr>
        <w:t>Odpowiedź</w:t>
      </w:r>
    </w:p>
    <w:p w:rsidR="00A03F37" w:rsidRDefault="001364A0" w:rsidP="007B7CFD">
      <w:pPr>
        <w:spacing w:line="276" w:lineRule="auto"/>
        <w:jc w:val="both"/>
      </w:pPr>
      <w:r w:rsidRPr="007B7CFD">
        <w:rPr>
          <w:b/>
        </w:rPr>
        <w:t>Ad. 1</w:t>
      </w:r>
      <w:r w:rsidR="009A3601">
        <w:t xml:space="preserve"> Zamawiający informuje, że</w:t>
      </w:r>
      <w:r w:rsidR="00AF030B">
        <w:t xml:space="preserve"> </w:t>
      </w:r>
      <w:r w:rsidR="007B7CFD">
        <w:t>dopuszcza, aby producent nawierzchni posiadał zarówno status</w:t>
      </w:r>
      <w:r w:rsidR="009A3601">
        <w:t xml:space="preserve"> FIFA STANDARD LICENSEES</w:t>
      </w:r>
      <w:r w:rsidR="007B7CFD">
        <w:t xml:space="preserve"> jak i</w:t>
      </w:r>
      <w:r w:rsidR="00AF030B">
        <w:t xml:space="preserve"> FIFA PREFERRED PRODUCER (FPP)</w:t>
      </w:r>
      <w:r w:rsidR="007B7CFD">
        <w:t>.</w:t>
      </w:r>
    </w:p>
    <w:p w:rsidR="009A3601" w:rsidRDefault="009A3601" w:rsidP="007B7CFD">
      <w:pPr>
        <w:spacing w:line="276" w:lineRule="auto"/>
        <w:jc w:val="both"/>
      </w:pPr>
      <w:r w:rsidRPr="007B7CFD">
        <w:rPr>
          <w:b/>
        </w:rPr>
        <w:t>Ad. 2</w:t>
      </w:r>
      <w:r>
        <w:t xml:space="preserve"> Zamawiający </w:t>
      </w:r>
      <w:r w:rsidR="007B7CFD">
        <w:t xml:space="preserve">dopuszcza </w:t>
      </w:r>
      <w:r>
        <w:t>zastosowanie sztucznej trawy z kombinacją włókien</w:t>
      </w:r>
      <w:r w:rsidR="007B7CFD">
        <w:t xml:space="preserve"> typu</w:t>
      </w:r>
      <w:r>
        <w:t xml:space="preserve"> </w:t>
      </w:r>
      <w:proofErr w:type="spellStart"/>
      <w:r>
        <w:t>monofil</w:t>
      </w:r>
      <w:proofErr w:type="spellEnd"/>
      <w:r w:rsidR="007B7CFD">
        <w:t xml:space="preserve">  </w:t>
      </w:r>
      <w:r w:rsidR="00C062FD">
        <w:t xml:space="preserve">                         </w:t>
      </w:r>
      <w:r>
        <w:t xml:space="preserve">z </w:t>
      </w:r>
      <w:proofErr w:type="spellStart"/>
      <w:r>
        <w:t>fibrylem</w:t>
      </w:r>
      <w:proofErr w:type="spellEnd"/>
      <w:r>
        <w:t xml:space="preserve"> o grubościach min. 350 mikronów i 100 mikronów.</w:t>
      </w:r>
    </w:p>
    <w:p w:rsidR="009A3601" w:rsidRPr="00C062FD" w:rsidRDefault="009A3601" w:rsidP="007B7CFD">
      <w:pPr>
        <w:spacing w:line="276" w:lineRule="auto"/>
        <w:jc w:val="both"/>
      </w:pPr>
      <w:r w:rsidRPr="007B7CFD">
        <w:rPr>
          <w:b/>
        </w:rPr>
        <w:t>Ad. 3</w:t>
      </w:r>
      <w:r>
        <w:t xml:space="preserve"> Zamawiający nie wyraża zgody </w:t>
      </w:r>
      <w:r w:rsidR="00AF030B">
        <w:t xml:space="preserve">na zmianę </w:t>
      </w:r>
      <w:r w:rsidR="007B7CFD">
        <w:t xml:space="preserve">parametrów </w:t>
      </w:r>
      <w:r w:rsidR="00AF030B">
        <w:t>frakcji wypełnienia i w tym zakresie</w:t>
      </w:r>
      <w:r w:rsidR="007B7CFD">
        <w:t xml:space="preserve"> podtrzymuje</w:t>
      </w:r>
      <w:r w:rsidR="00AF030B">
        <w:t xml:space="preserve"> zapisy SWZ</w:t>
      </w:r>
      <w:r w:rsidR="00C062FD">
        <w:t>.</w:t>
      </w:r>
    </w:p>
    <w:p w:rsidR="00AF030B" w:rsidRDefault="00AF030B" w:rsidP="009A3601">
      <w:pPr>
        <w:spacing w:after="0" w:line="276" w:lineRule="auto"/>
        <w:jc w:val="both"/>
      </w:pPr>
      <w:r w:rsidRPr="007B7CFD">
        <w:rPr>
          <w:b/>
        </w:rPr>
        <w:t>Ad. 4</w:t>
      </w:r>
      <w:r>
        <w:t xml:space="preserve"> Zamawiający </w:t>
      </w:r>
      <w:r w:rsidR="00D446BC" w:rsidRPr="00C062FD">
        <w:t>aprobuje</w:t>
      </w:r>
      <w:r>
        <w:t xml:space="preserve"> proponowane dokumenty dla trawy syntetycznej tj.:</w:t>
      </w:r>
    </w:p>
    <w:p w:rsidR="00AF030B" w:rsidRDefault="00AF030B" w:rsidP="009A3601">
      <w:pPr>
        <w:spacing w:after="0" w:line="276" w:lineRule="auto"/>
        <w:jc w:val="both"/>
      </w:pPr>
      <w:r>
        <w:t>a) Raport z badań laboratoryjnych przeprowadzony przez laboratorium niezależne, akredytowane zgodnie z ISO/IEC 17025:2018, dotyczący oferowanego systemu tj. trawy syntetycznej, wypełnienia                    i maty, potwierdzający zgodność z aktualną normą EN 15330-1:2013/PN-EN 15330-1:2014-02 oraz potwierdzający minimalne parametry określone przez Zamawiającego;</w:t>
      </w:r>
      <w:r>
        <w:br/>
        <w:t>b) Karta techniczna oferowanej nawierzchni poświadczona przez jej producenta;</w:t>
      </w:r>
      <w:r>
        <w:br/>
        <w:t>c) Aktualny certyfikat potwierdzający posiadanie przez producenta statusu FIFA PREFERRED PRODUCER (FPP) lub posiadanie statusu licencjobiorcy FIFA;</w:t>
      </w:r>
      <w:r>
        <w:br/>
        <w:t>d) Atest PZH dla oferowanej trawy syntetycznej;</w:t>
      </w:r>
      <w:r>
        <w:br/>
        <w:t>e) Atest PZH dla maty amortyzującej;</w:t>
      </w:r>
      <w:r>
        <w:br/>
        <w:t>f) Autoryzacja producenta trawy syntetycznej, wystawiona dla wykonawcy na realizowaną inwestycję wraz z potwierdzeniem gwarancji udzielonej przez producenta na nawierzchnię.</w:t>
      </w:r>
    </w:p>
    <w:p w:rsidR="00A03F37" w:rsidRDefault="00A03F37" w:rsidP="00C35401">
      <w:pPr>
        <w:spacing w:after="0" w:line="276" w:lineRule="auto"/>
      </w:pPr>
    </w:p>
    <w:p w:rsidR="00A03F37" w:rsidRPr="00C35401" w:rsidRDefault="00A03F37" w:rsidP="00A03F37">
      <w:pPr>
        <w:shd w:val="clear" w:color="auto" w:fill="B4C6E7" w:themeFill="accent5" w:themeFillTint="66"/>
        <w:spacing w:after="0" w:line="276" w:lineRule="auto"/>
        <w:rPr>
          <w:rFonts w:cstheme="minorHAnsi"/>
          <w:b/>
        </w:rPr>
      </w:pPr>
      <w:r>
        <w:rPr>
          <w:rFonts w:cstheme="minorHAnsi"/>
          <w:b/>
        </w:rPr>
        <w:t>Pytanie 2</w:t>
      </w:r>
    </w:p>
    <w:p w:rsidR="00AF030B" w:rsidRDefault="00AF030B" w:rsidP="00AF030B">
      <w:pPr>
        <w:spacing w:after="0" w:line="276" w:lineRule="auto"/>
        <w:jc w:val="both"/>
      </w:pPr>
      <w:r>
        <w:t xml:space="preserve">Czy zgodnie z zasadą uczciwej konkurencji (art. 99 ust. 1 </w:t>
      </w:r>
      <w:proofErr w:type="spellStart"/>
      <w:r>
        <w:t>Pzp</w:t>
      </w:r>
      <w:proofErr w:type="spellEnd"/>
      <w:r>
        <w:t>) Zamawiający zmieni warunki udziału                        w postępowaniu oraz rozszerzy dopuszczalne parametrów trawy, aby w postępowaniu mogło wziąć udział więcej niż jeden wykonawca? Wnosimy o dopuszczenie poniższych parametrów:</w:t>
      </w:r>
    </w:p>
    <w:p w:rsidR="00AF030B" w:rsidRDefault="00AF030B" w:rsidP="00AF030B">
      <w:pPr>
        <w:spacing w:after="0" w:line="276" w:lineRule="auto"/>
        <w:jc w:val="both"/>
      </w:pPr>
      <w:r>
        <w:t xml:space="preserve">▪ </w:t>
      </w:r>
      <w:proofErr w:type="spellStart"/>
      <w:r>
        <w:t>dtex</w:t>
      </w:r>
      <w:proofErr w:type="spellEnd"/>
      <w:r>
        <w:t xml:space="preserve"> min. 19 100,</w:t>
      </w:r>
    </w:p>
    <w:p w:rsidR="00AF030B" w:rsidRDefault="00AF030B" w:rsidP="00AF030B">
      <w:pPr>
        <w:spacing w:after="0" w:line="276" w:lineRule="auto"/>
        <w:jc w:val="both"/>
      </w:pPr>
      <w:r>
        <w:t xml:space="preserve">Standardowo wymagana wartość </w:t>
      </w:r>
      <w:proofErr w:type="spellStart"/>
      <w:r>
        <w:t>dtex</w:t>
      </w:r>
      <w:proofErr w:type="spellEnd"/>
      <w:r>
        <w:t xml:space="preserve"> oscyluje w przedziale 12 000 – 14 000. Wymaganie tego parametru na poziomie 20 500 nie ma bezpośredniego związku z jakością sztucznej trawy.</w:t>
      </w:r>
    </w:p>
    <w:p w:rsidR="00AF030B" w:rsidRDefault="00AF030B" w:rsidP="00AF030B">
      <w:pPr>
        <w:spacing w:after="0" w:line="276" w:lineRule="auto"/>
        <w:jc w:val="both"/>
      </w:pPr>
      <w:r>
        <w:t>Niezaakceptowanie wskazanego parametru może prowadzić jedynie do ograniczenia uczciwej konkurencji oraz uniemożliwienia udziału w postępowaniu większej liczbie wykonawców.</w:t>
      </w:r>
    </w:p>
    <w:p w:rsidR="00AF030B" w:rsidRDefault="00AF030B" w:rsidP="00AF030B">
      <w:pPr>
        <w:spacing w:after="0" w:line="276" w:lineRule="auto"/>
        <w:jc w:val="both"/>
      </w:pPr>
      <w:r>
        <w:lastRenderedPageBreak/>
        <w:t>Oferowane rozwiązanie w żaden sposób nie spowoduje obniżenia jakości budowanego boiska. Pozytywnie rozpatrując naszą prośbę, Zamawiający jedynie poszerza grono wykonawców i oferentów, a co za tym idzie, jest w stanie uzyskać bardziej konkurencyjne oferty, sama jakość wykonanej nawierzchni pozostaje bez zmian. Producent oferowanej przez nas trawy jest jednym z ośmiu na świecie Preferowanych Producentów FIFA, co daje całkowitą gwarancję, że oferowany produkt jest najwyższej jakości.</w:t>
      </w:r>
    </w:p>
    <w:p w:rsidR="00AF030B" w:rsidRDefault="00AF030B" w:rsidP="00AF030B">
      <w:pPr>
        <w:spacing w:after="0" w:line="276" w:lineRule="auto"/>
        <w:jc w:val="both"/>
      </w:pPr>
      <w:r>
        <w:t>Nadmieniamy, że Zamawiający wydatkuje środki publiczne i jego rolą jest wybranie oferty jak najkorzystniejszej zarówno jakościowo jak i finansowo, dlatego powinien tak opisać przedmiot zamówienia, aby jak największa ilość oferentów mogła wystartować w tym przetargu, nie utrudniając dostępu do zamówienia potencjalnym Wykonawcom. Zamawiający winien również dołożyć wszelkich starań aby określić wymagania w sposób nie budzący jakichkolwiek podejrzeń i niezgodności                                 z wytycznymi i standardami obowiązującymi w branży.</w:t>
      </w:r>
    </w:p>
    <w:p w:rsidR="00A03F37" w:rsidRPr="008F0150" w:rsidRDefault="00AF030B" w:rsidP="00AF030B">
      <w:pPr>
        <w:spacing w:after="0" w:line="276" w:lineRule="auto"/>
        <w:jc w:val="both"/>
        <w:rPr>
          <w:b/>
        </w:rPr>
      </w:pPr>
      <w:r>
        <w:t>Mając powyższe na uwadze, prosimy o przychylenie się do naszego wniosku.</w:t>
      </w:r>
    </w:p>
    <w:p w:rsidR="00C35401" w:rsidRPr="008F0150" w:rsidRDefault="00C35401" w:rsidP="00A03F37">
      <w:pPr>
        <w:shd w:val="clear" w:color="auto" w:fill="A8D08D" w:themeFill="accent6" w:themeFillTint="99"/>
        <w:spacing w:after="0" w:line="276" w:lineRule="auto"/>
        <w:rPr>
          <w:rFonts w:cstheme="minorHAnsi"/>
          <w:b/>
        </w:rPr>
      </w:pPr>
      <w:r w:rsidRPr="008F0150">
        <w:rPr>
          <w:rFonts w:cstheme="minorHAnsi"/>
          <w:b/>
        </w:rPr>
        <w:t>Odpowiedź</w:t>
      </w:r>
    </w:p>
    <w:p w:rsidR="00A03F37" w:rsidRDefault="00A03F37" w:rsidP="00AF030B">
      <w:pPr>
        <w:spacing w:after="0" w:line="276" w:lineRule="auto"/>
        <w:jc w:val="both"/>
        <w:rPr>
          <w:rFonts w:eastAsia="Times New Roman" w:cstheme="minorHAnsi"/>
          <w:lang w:eastAsia="pl-PL"/>
        </w:rPr>
      </w:pPr>
      <w:r w:rsidRPr="00A03F37">
        <w:rPr>
          <w:rFonts w:eastAsia="Times New Roman" w:cstheme="minorHAnsi"/>
          <w:lang w:eastAsia="pl-PL"/>
        </w:rPr>
        <w:t xml:space="preserve">Zamawiający </w:t>
      </w:r>
      <w:r w:rsidR="00AF030B">
        <w:rPr>
          <w:rFonts w:eastAsia="Times New Roman" w:cstheme="minorHAnsi"/>
          <w:lang w:eastAsia="pl-PL"/>
        </w:rPr>
        <w:t>wyraża zgodę na zmianę parametru</w:t>
      </w:r>
      <w:r w:rsidR="009265EC">
        <w:rPr>
          <w:rFonts w:eastAsia="Times New Roman" w:cstheme="minorHAnsi"/>
          <w:lang w:eastAsia="pl-PL"/>
        </w:rPr>
        <w:t xml:space="preserve"> </w:t>
      </w:r>
      <w:proofErr w:type="spellStart"/>
      <w:r w:rsidR="009265EC">
        <w:rPr>
          <w:rFonts w:eastAsia="Times New Roman" w:cstheme="minorHAnsi"/>
          <w:lang w:eastAsia="pl-PL"/>
        </w:rPr>
        <w:t>Dtex</w:t>
      </w:r>
      <w:proofErr w:type="spellEnd"/>
      <w:r w:rsidR="009265EC">
        <w:rPr>
          <w:rFonts w:eastAsia="Times New Roman" w:cstheme="minorHAnsi"/>
          <w:lang w:eastAsia="pl-PL"/>
        </w:rPr>
        <w:t xml:space="preserve"> </w:t>
      </w:r>
      <w:r w:rsidR="007B7CFD">
        <w:rPr>
          <w:rFonts w:eastAsia="Times New Roman" w:cstheme="minorHAnsi"/>
          <w:lang w:eastAsia="pl-PL"/>
        </w:rPr>
        <w:t xml:space="preserve"> i określa jego minimalną wartość na poziomie</w:t>
      </w:r>
      <w:r w:rsidR="009265EC">
        <w:rPr>
          <w:rFonts w:eastAsia="Times New Roman" w:cstheme="minorHAnsi"/>
          <w:lang w:eastAsia="pl-PL"/>
        </w:rPr>
        <w:t xml:space="preserve"> 19 100.</w:t>
      </w:r>
    </w:p>
    <w:p w:rsidR="009265EC" w:rsidRDefault="009265EC" w:rsidP="00AF030B">
      <w:pPr>
        <w:spacing w:after="0" w:line="276" w:lineRule="auto"/>
        <w:jc w:val="both"/>
        <w:rPr>
          <w:rFonts w:eastAsia="Times New Roman" w:cstheme="minorHAnsi"/>
          <w:lang w:eastAsia="pl-PL"/>
        </w:rPr>
      </w:pPr>
    </w:p>
    <w:p w:rsidR="009265EC" w:rsidRPr="00C35401" w:rsidRDefault="009265EC" w:rsidP="009265EC">
      <w:pPr>
        <w:shd w:val="clear" w:color="auto" w:fill="B4C6E7" w:themeFill="accent5" w:themeFillTint="66"/>
        <w:spacing w:after="0" w:line="276" w:lineRule="auto"/>
        <w:rPr>
          <w:rFonts w:cstheme="minorHAnsi"/>
          <w:b/>
        </w:rPr>
      </w:pPr>
      <w:r>
        <w:rPr>
          <w:rFonts w:cstheme="minorHAnsi"/>
          <w:b/>
        </w:rPr>
        <w:t>Pytanie 3</w:t>
      </w:r>
    </w:p>
    <w:p w:rsidR="009265EC" w:rsidRDefault="009265EC" w:rsidP="00AF030B">
      <w:pPr>
        <w:spacing w:after="0" w:line="276" w:lineRule="auto"/>
        <w:jc w:val="both"/>
        <w:rPr>
          <w:rFonts w:eastAsia="Times New Roman" w:cstheme="minorHAnsi"/>
          <w:lang w:eastAsia="pl-PL"/>
        </w:rPr>
      </w:pPr>
      <w:r>
        <w:t>Zamawiający w postępowaniu określił wymóg posiadania przez producenta sztucznej trawy statusu FIFA Preferred Producer (określanego również jako FIFA Preferred Provider).</w:t>
      </w:r>
      <w:r>
        <w:br/>
        <w:t xml:space="preserve">Pragniemy wskazać, że w ramach programu FIFA funkcjonują dwa rodzaje statusów producentów: FIFA </w:t>
      </w:r>
      <w:proofErr w:type="spellStart"/>
      <w:r>
        <w:t>Licensed</w:t>
      </w:r>
      <w:proofErr w:type="spellEnd"/>
      <w:r>
        <w:t xml:space="preserve"> Producer oraz FIFA </w:t>
      </w:r>
      <w:proofErr w:type="spellStart"/>
      <w:r>
        <w:t>Preferred</w:t>
      </w:r>
      <w:proofErr w:type="spellEnd"/>
      <w:r>
        <w:t xml:space="preserve"> Producer, które są publicznie wyszczególnione na stronie FIFA w zakładce FIFA </w:t>
      </w:r>
      <w:proofErr w:type="spellStart"/>
      <w:r>
        <w:t>Quality</w:t>
      </w:r>
      <w:proofErr w:type="spellEnd"/>
      <w:r>
        <w:t> </w:t>
      </w:r>
      <w:proofErr w:type="spellStart"/>
      <w:r>
        <w:t>Programme</w:t>
      </w:r>
      <w:proofErr w:type="spellEnd"/>
      <w:r>
        <w:t>.</w:t>
      </w:r>
      <w:r>
        <w:br/>
        <w:t xml:space="preserve">Z technicznego punktu widzenia oba statusy są równoważne, potwierdzają uczestnictwo producenta w programie FIFA </w:t>
      </w:r>
      <w:proofErr w:type="spellStart"/>
      <w:r>
        <w:t>Quality</w:t>
      </w:r>
      <w:proofErr w:type="spellEnd"/>
      <w:r>
        <w:t xml:space="preserve"> oraz umożliwiają certyfikowanie obiektów zgodnie z jego wymaganiami. Procedury badawcze oraz wymagania jakościowe dla nawierzchni pozostają w obu przypadkach identyczne.</w:t>
      </w:r>
      <w:r>
        <w:br/>
        <w:t>Różnica pomiędzy wskazanymi statusami ma charakter marketingowy i nie przekłada się na właściwości użytkowe ani jakość oferowanego produktu.</w:t>
      </w:r>
      <w:r>
        <w:br/>
        <w:t xml:space="preserve">W związku z powyższym uprzejmie prosimy o dopuszczenie rozwiązań producentów posiadających status FIFA </w:t>
      </w:r>
      <w:proofErr w:type="spellStart"/>
      <w:r>
        <w:t>Licensed</w:t>
      </w:r>
      <w:proofErr w:type="spellEnd"/>
      <w:r>
        <w:t xml:space="preserve"> Producer, co pozwoli na zwiększenie konkurencyjności postępowania, przy jednoczesnym zachowaniu wymaganych standardów jakościowych.</w:t>
      </w:r>
    </w:p>
    <w:p w:rsidR="00F67EC4" w:rsidRDefault="00F67EC4" w:rsidP="008F0150">
      <w:pPr>
        <w:spacing w:after="0" w:line="276" w:lineRule="auto"/>
        <w:jc w:val="both"/>
        <w:rPr>
          <w:rFonts w:eastAsia="Times New Roman" w:cstheme="minorHAnsi"/>
          <w:lang w:eastAsia="pl-PL"/>
        </w:rPr>
      </w:pPr>
    </w:p>
    <w:p w:rsidR="009265EC" w:rsidRPr="008F0150" w:rsidRDefault="009265EC" w:rsidP="009265EC">
      <w:pPr>
        <w:shd w:val="clear" w:color="auto" w:fill="A8D08D" w:themeFill="accent6" w:themeFillTint="99"/>
        <w:spacing w:after="0" w:line="276" w:lineRule="auto"/>
        <w:rPr>
          <w:rFonts w:cstheme="minorHAnsi"/>
          <w:b/>
        </w:rPr>
      </w:pPr>
      <w:r w:rsidRPr="008F0150">
        <w:rPr>
          <w:rFonts w:cstheme="minorHAnsi"/>
          <w:b/>
        </w:rPr>
        <w:t>Odpowiedź</w:t>
      </w:r>
    </w:p>
    <w:p w:rsidR="009265EC" w:rsidRDefault="009265EC" w:rsidP="009265EC">
      <w:pPr>
        <w:spacing w:after="0" w:line="276" w:lineRule="auto"/>
        <w:jc w:val="both"/>
      </w:pPr>
      <w:r>
        <w:rPr>
          <w:rFonts w:eastAsia="Times New Roman" w:cstheme="minorHAnsi"/>
          <w:lang w:eastAsia="pl-PL"/>
        </w:rPr>
        <w:t xml:space="preserve">Zamawiający informuje, że wymaga </w:t>
      </w:r>
      <w:r w:rsidR="007B7CFD">
        <w:rPr>
          <w:rFonts w:eastAsia="Times New Roman" w:cstheme="minorHAnsi"/>
          <w:lang w:eastAsia="pl-PL"/>
        </w:rPr>
        <w:t>aby producent nawierzchni posiadał</w:t>
      </w:r>
      <w:r>
        <w:rPr>
          <w:rFonts w:eastAsia="Times New Roman" w:cstheme="minorHAnsi"/>
          <w:lang w:eastAsia="pl-PL"/>
        </w:rPr>
        <w:t xml:space="preserve"> a</w:t>
      </w:r>
      <w:r w:rsidR="007B7CFD">
        <w:t>ktualny</w:t>
      </w:r>
      <w:r>
        <w:t xml:space="preserve"> status FIFA STANDARD LICENSEES</w:t>
      </w:r>
      <w:r w:rsidR="00D446BC">
        <w:t xml:space="preserve"> </w:t>
      </w:r>
      <w:r w:rsidR="00D446BC" w:rsidRPr="00C062FD">
        <w:t>PRODUCER</w:t>
      </w:r>
      <w:r>
        <w:t xml:space="preserve"> lub FIFA PREFERRED PRODUCER (FPP).</w:t>
      </w:r>
    </w:p>
    <w:p w:rsidR="009265EC" w:rsidRDefault="009265EC" w:rsidP="009265EC">
      <w:pPr>
        <w:spacing w:after="0" w:line="276" w:lineRule="auto"/>
        <w:jc w:val="both"/>
      </w:pPr>
    </w:p>
    <w:p w:rsidR="009265EC" w:rsidRPr="00C35401" w:rsidRDefault="009265EC" w:rsidP="009265EC">
      <w:pPr>
        <w:shd w:val="clear" w:color="auto" w:fill="B4C6E7" w:themeFill="accent5" w:themeFillTint="66"/>
        <w:spacing w:after="0" w:line="276" w:lineRule="auto"/>
        <w:rPr>
          <w:rFonts w:cstheme="minorHAnsi"/>
          <w:b/>
        </w:rPr>
      </w:pPr>
      <w:r>
        <w:rPr>
          <w:rFonts w:cstheme="minorHAnsi"/>
          <w:b/>
        </w:rPr>
        <w:t>Pytanie 4</w:t>
      </w:r>
    </w:p>
    <w:p w:rsidR="009265EC" w:rsidRPr="009265EC" w:rsidRDefault="009265EC" w:rsidP="009265EC">
      <w:pPr>
        <w:pStyle w:val="Akapitzlist"/>
        <w:numPr>
          <w:ilvl w:val="0"/>
          <w:numId w:val="25"/>
        </w:numPr>
        <w:spacing w:after="0" w:line="240" w:lineRule="auto"/>
        <w:ind w:left="0" w:firstLine="0"/>
        <w:contextualSpacing w:val="0"/>
        <w:jc w:val="both"/>
        <w:rPr>
          <w:rFonts w:eastAsia="Times New Roman" w:cstheme="minorHAnsi"/>
          <w:b/>
          <w:bCs/>
        </w:rPr>
      </w:pPr>
      <w:r w:rsidRPr="009265EC">
        <w:rPr>
          <w:rFonts w:cstheme="minorHAnsi"/>
        </w:rPr>
        <w:t>PFU jest obarczone wadą ponieważ podaje wymagania w zakresie parametrów nawierzchni PU w sposób niezgodny ze standardami w branży tj. niezgodnie z aktualną normą dla tego typu nawierzchni PU.</w:t>
      </w:r>
    </w:p>
    <w:p w:rsidR="009265EC" w:rsidRPr="009265EC" w:rsidRDefault="009265EC" w:rsidP="009265EC">
      <w:pPr>
        <w:pStyle w:val="Akapitzlist"/>
        <w:ind w:left="0"/>
        <w:jc w:val="both"/>
        <w:rPr>
          <w:rFonts w:cstheme="minorHAnsi"/>
        </w:rPr>
      </w:pPr>
      <w:r w:rsidRPr="009265EC">
        <w:rPr>
          <w:rFonts w:cstheme="minorHAnsi"/>
        </w:rPr>
        <w:t>PFU podaje w wymaganych dokumentach nawierzchni PU:</w:t>
      </w:r>
    </w:p>
    <w:p w:rsidR="009265EC" w:rsidRPr="009265EC" w:rsidRDefault="009265EC" w:rsidP="009265EC">
      <w:pPr>
        <w:pStyle w:val="Akapitzlist"/>
        <w:ind w:left="0"/>
        <w:jc w:val="both"/>
        <w:rPr>
          <w:rFonts w:cstheme="minorHAnsi"/>
        </w:rPr>
      </w:pPr>
      <w:r w:rsidRPr="009265EC">
        <w:rPr>
          <w:rFonts w:cstheme="minorHAnsi"/>
          <w:noProof/>
          <w:lang w:eastAsia="pl-PL"/>
        </w:rPr>
        <w:drawing>
          <wp:inline distT="0" distB="0" distL="0" distR="0" wp14:anchorId="52A316E0" wp14:editId="55B177D3">
            <wp:extent cx="5760720" cy="260350"/>
            <wp:effectExtent l="0" t="0" r="0" b="6350"/>
            <wp:docPr id="17613170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17025" name=""/>
                    <pic:cNvPicPr/>
                  </pic:nvPicPr>
                  <pic:blipFill>
                    <a:blip r:embed="rId5"/>
                    <a:stretch>
                      <a:fillRect/>
                    </a:stretch>
                  </pic:blipFill>
                  <pic:spPr>
                    <a:xfrm>
                      <a:off x="0" y="0"/>
                      <a:ext cx="5760720" cy="260350"/>
                    </a:xfrm>
                    <a:prstGeom prst="rect">
                      <a:avLst/>
                    </a:prstGeom>
                  </pic:spPr>
                </pic:pic>
              </a:graphicData>
            </a:graphic>
          </wp:inline>
        </w:drawing>
      </w:r>
    </w:p>
    <w:p w:rsidR="009265EC" w:rsidRPr="009265EC" w:rsidRDefault="009265EC" w:rsidP="009265EC">
      <w:pPr>
        <w:pStyle w:val="Akapitzlist"/>
        <w:ind w:left="0"/>
        <w:jc w:val="both"/>
        <w:rPr>
          <w:rFonts w:cstheme="minorHAnsi"/>
        </w:rPr>
      </w:pPr>
      <w:r w:rsidRPr="009265EC">
        <w:rPr>
          <w:rFonts w:cstheme="minorHAnsi"/>
        </w:rPr>
        <w:t>a jednocześnie podaje tabelę z parametrami niezgodnie z tą normą tj.:</w:t>
      </w:r>
    </w:p>
    <w:p w:rsidR="009265EC" w:rsidRDefault="009265EC" w:rsidP="009265EC">
      <w:pPr>
        <w:jc w:val="both"/>
        <w:rPr>
          <w:rFonts w:ascii="Verdana" w:hAnsi="Verdana"/>
          <w:color w:val="0070C0"/>
          <w:sz w:val="16"/>
          <w:szCs w:val="16"/>
        </w:rPr>
      </w:pPr>
      <w:r w:rsidRPr="00AB71B0">
        <w:rPr>
          <w:rFonts w:ascii="Verdana" w:hAnsi="Verdana"/>
          <w:noProof/>
          <w:color w:val="0070C0"/>
          <w:sz w:val="16"/>
          <w:szCs w:val="16"/>
          <w:lang w:eastAsia="pl-PL"/>
        </w:rPr>
        <w:lastRenderedPageBreak/>
        <w:drawing>
          <wp:inline distT="0" distB="0" distL="0" distR="0" wp14:anchorId="144EBB70" wp14:editId="2B796CBD">
            <wp:extent cx="4221480" cy="3358757"/>
            <wp:effectExtent l="0" t="0" r="7620" b="0"/>
            <wp:docPr id="17278007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00732" name=""/>
                    <pic:cNvPicPr/>
                  </pic:nvPicPr>
                  <pic:blipFill>
                    <a:blip r:embed="rId6"/>
                    <a:stretch>
                      <a:fillRect/>
                    </a:stretch>
                  </pic:blipFill>
                  <pic:spPr>
                    <a:xfrm>
                      <a:off x="0" y="0"/>
                      <a:ext cx="4228715" cy="3364513"/>
                    </a:xfrm>
                    <a:prstGeom prst="rect">
                      <a:avLst/>
                    </a:prstGeom>
                  </pic:spPr>
                </pic:pic>
              </a:graphicData>
            </a:graphic>
          </wp:inline>
        </w:drawing>
      </w:r>
    </w:p>
    <w:p w:rsidR="009265EC" w:rsidRDefault="009265EC" w:rsidP="009265EC">
      <w:pPr>
        <w:jc w:val="both"/>
        <w:rPr>
          <w:rFonts w:ascii="Verdana" w:hAnsi="Verdana"/>
          <w:color w:val="0070C0"/>
          <w:sz w:val="16"/>
          <w:szCs w:val="16"/>
        </w:rPr>
      </w:pPr>
    </w:p>
    <w:p w:rsidR="009265EC" w:rsidRPr="009265EC" w:rsidRDefault="009265EC" w:rsidP="009265EC">
      <w:pPr>
        <w:jc w:val="both"/>
        <w:rPr>
          <w:rFonts w:cstheme="minorHAnsi"/>
        </w:rPr>
      </w:pPr>
      <w:r w:rsidRPr="009265EC">
        <w:rPr>
          <w:rFonts w:cstheme="minorHAnsi"/>
        </w:rPr>
        <w:t>Ww. parametry są niezgodne z wytycznymi normy PN-EN 14877:2014-02 (obowiązująca w Unii Europejskiej norma określająca wymagania dotyczące sportowych wszystkich nawierzchni PU otwartych obiektów sportowych) tj. podają parametry tez nienormatywne i wartości inne niż określa to ww. norma.</w:t>
      </w:r>
    </w:p>
    <w:p w:rsidR="009265EC" w:rsidRPr="009265EC" w:rsidRDefault="009265EC" w:rsidP="009265EC">
      <w:pPr>
        <w:pStyle w:val="Akapitzlist"/>
        <w:ind w:left="0"/>
        <w:jc w:val="both"/>
        <w:rPr>
          <w:rFonts w:cstheme="minorHAnsi"/>
        </w:rPr>
      </w:pPr>
      <w:r w:rsidRPr="009265EC">
        <w:rPr>
          <w:rFonts w:cstheme="minorHAnsi"/>
        </w:rPr>
        <w:t>Poniżej przedstawiamy wymagania wg aktualnej normy PN-EN 14877:2014-02 dla nawierzchni PU - obowiązująca w Unii Europejskiej norma określająca wymagania dotyczące sportowych wszystkich nawierzchni PU otwartych obiektów sportowych).</w:t>
      </w:r>
    </w:p>
    <w:tbl>
      <w:tblPr>
        <w:tblW w:w="0" w:type="auto"/>
        <w:tblInd w:w="-10" w:type="dxa"/>
        <w:tblCellMar>
          <w:left w:w="0" w:type="dxa"/>
          <w:right w:w="0" w:type="dxa"/>
        </w:tblCellMar>
        <w:tblLook w:val="04A0" w:firstRow="1" w:lastRow="0" w:firstColumn="1" w:lastColumn="0" w:noHBand="0" w:noVBand="1"/>
      </w:tblPr>
      <w:tblGrid>
        <w:gridCol w:w="5837"/>
        <w:gridCol w:w="2958"/>
      </w:tblGrid>
      <w:tr w:rsidR="009265EC" w:rsidRPr="009265EC" w:rsidTr="007B7CFD">
        <w:tc>
          <w:tcPr>
            <w:tcW w:w="5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i/>
                <w:iCs/>
              </w:rPr>
            </w:pPr>
            <w:r w:rsidRPr="009265EC">
              <w:rPr>
                <w:rFonts w:cstheme="minorHAnsi"/>
              </w:rPr>
              <w:tab/>
            </w:r>
            <w:r w:rsidRPr="009265EC">
              <w:rPr>
                <w:rFonts w:eastAsia="Calibri" w:cstheme="minorHAnsi"/>
                <w:i/>
                <w:iCs/>
              </w:rPr>
              <w:t>parametr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rPr>
                <w:rFonts w:eastAsia="Calibri" w:cstheme="minorHAnsi"/>
                <w:i/>
                <w:iCs/>
              </w:rPr>
            </w:pPr>
            <w:r w:rsidRPr="009265EC">
              <w:rPr>
                <w:rFonts w:eastAsia="Calibri" w:cstheme="minorHAnsi"/>
                <w:i/>
                <w:iCs/>
              </w:rPr>
              <w:t xml:space="preserve">wartość wymagana wg normy </w:t>
            </w:r>
          </w:p>
          <w:p w:rsidR="009265EC" w:rsidRPr="009265EC" w:rsidRDefault="009265EC" w:rsidP="007B7CFD">
            <w:pPr>
              <w:ind w:left="709" w:hanging="666"/>
              <w:rPr>
                <w:rFonts w:eastAsia="Calibri" w:cstheme="minorHAnsi"/>
                <w:i/>
                <w:iCs/>
              </w:rPr>
            </w:pPr>
            <w:r w:rsidRPr="009265EC">
              <w:rPr>
                <w:rFonts w:eastAsia="Calibri" w:cstheme="minorHAnsi"/>
                <w:i/>
                <w:iCs/>
              </w:rPr>
              <w:t>PN-EN 14877:2014-02</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 xml:space="preserve">Wytrzymałość na rozciąganie, </w:t>
            </w:r>
            <w:proofErr w:type="spellStart"/>
            <w:r w:rsidRPr="009265EC">
              <w:rPr>
                <w:rFonts w:eastAsia="Calibri" w:cstheme="minorHAnsi"/>
              </w:rPr>
              <w:t>MPa</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0,4</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Wydłużenie podczas zerwania,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40</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Opór poślizgu, PTV:</w:t>
            </w:r>
          </w:p>
          <w:p w:rsidR="009265EC" w:rsidRPr="009265EC" w:rsidRDefault="009265EC" w:rsidP="007B7CFD">
            <w:pPr>
              <w:ind w:left="709" w:hanging="638"/>
              <w:jc w:val="both"/>
              <w:rPr>
                <w:rFonts w:eastAsia="Calibri" w:cstheme="minorHAnsi"/>
              </w:rPr>
            </w:pPr>
            <w:r w:rsidRPr="009265EC">
              <w:rPr>
                <w:rFonts w:eastAsia="Calibri" w:cstheme="minorHAnsi"/>
              </w:rPr>
              <w:t>- na sucho</w:t>
            </w:r>
          </w:p>
          <w:p w:rsidR="009265EC" w:rsidRPr="009265EC" w:rsidRDefault="009265EC" w:rsidP="007B7CFD">
            <w:pPr>
              <w:ind w:left="709" w:hanging="638"/>
              <w:jc w:val="both"/>
              <w:rPr>
                <w:rFonts w:eastAsia="Calibri" w:cstheme="minorHAnsi"/>
              </w:rPr>
            </w:pPr>
            <w:r w:rsidRPr="009265EC">
              <w:rPr>
                <w:rFonts w:eastAsia="Calibri" w:cstheme="minorHAnsi"/>
              </w:rPr>
              <w:t>- na mokro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w:t>
            </w:r>
          </w:p>
          <w:p w:rsidR="009265EC" w:rsidRPr="009265EC" w:rsidRDefault="009265EC" w:rsidP="007B7CFD">
            <w:pPr>
              <w:ind w:left="709" w:hanging="666"/>
              <w:jc w:val="both"/>
              <w:rPr>
                <w:rFonts w:eastAsia="Calibri" w:cstheme="minorHAnsi"/>
              </w:rPr>
            </w:pPr>
            <w:r w:rsidRPr="009265EC">
              <w:rPr>
                <w:rFonts w:eastAsia="Calibri" w:cstheme="minorHAnsi"/>
              </w:rPr>
              <w:t>80÷110</w:t>
            </w:r>
          </w:p>
          <w:p w:rsidR="009265EC" w:rsidRPr="009265EC" w:rsidRDefault="009265EC" w:rsidP="007B7CFD">
            <w:pPr>
              <w:ind w:left="709" w:hanging="666"/>
              <w:jc w:val="both"/>
              <w:rPr>
                <w:rFonts w:eastAsia="Calibri" w:cstheme="minorHAnsi"/>
              </w:rPr>
            </w:pPr>
            <w:r w:rsidRPr="009265EC">
              <w:rPr>
                <w:rFonts w:eastAsia="Calibri" w:cstheme="minorHAnsi"/>
              </w:rPr>
              <w:t>55÷110</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(dotyczy tylko nawierzchni przepuszczalnej dla wody)</w:t>
            </w:r>
          </w:p>
          <w:p w:rsidR="009265EC" w:rsidRPr="009265EC" w:rsidRDefault="009265EC" w:rsidP="007B7CFD">
            <w:pPr>
              <w:ind w:left="709" w:hanging="638"/>
              <w:jc w:val="both"/>
              <w:rPr>
                <w:rFonts w:eastAsia="Calibri" w:cstheme="minorHAnsi"/>
              </w:rPr>
            </w:pPr>
            <w:r w:rsidRPr="009265EC">
              <w:rPr>
                <w:rFonts w:eastAsia="Calibri" w:cstheme="minorHAnsi"/>
              </w:rPr>
              <w:t xml:space="preserve">Przepuszczalność wody, mm/h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265EC" w:rsidRPr="009265EC" w:rsidRDefault="009265EC" w:rsidP="007B7CFD">
            <w:pPr>
              <w:ind w:left="709" w:hanging="666"/>
              <w:jc w:val="both"/>
              <w:rPr>
                <w:rFonts w:eastAsia="Calibri" w:cstheme="minorHAnsi"/>
              </w:rPr>
            </w:pPr>
          </w:p>
          <w:p w:rsidR="009265EC" w:rsidRPr="009265EC" w:rsidRDefault="009265EC" w:rsidP="007B7CFD">
            <w:pPr>
              <w:ind w:left="709" w:hanging="666"/>
              <w:jc w:val="both"/>
              <w:rPr>
                <w:rFonts w:eastAsia="Calibri" w:cstheme="minorHAnsi"/>
              </w:rPr>
            </w:pPr>
            <w:r w:rsidRPr="009265EC">
              <w:rPr>
                <w:rFonts w:eastAsia="Calibri" w:cstheme="minorHAnsi"/>
              </w:rPr>
              <w:t>≥ 150</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 xml:space="preserve">Odporność na zużycie (ścieranie aparatem </w:t>
            </w:r>
            <w:proofErr w:type="spellStart"/>
            <w:r w:rsidRPr="009265EC">
              <w:rPr>
                <w:rFonts w:eastAsia="Calibri" w:cstheme="minorHAnsi"/>
              </w:rPr>
              <w:t>Tabera</w:t>
            </w:r>
            <w:proofErr w:type="spellEnd"/>
            <w:r w:rsidRPr="009265EC">
              <w:rPr>
                <w:rFonts w:eastAsia="Calibri" w:cstheme="minorHAnsi"/>
              </w:rPr>
              <w:t>), 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4</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(dotyczy tylko nawierzchni lekkoatletycznej)</w:t>
            </w:r>
          </w:p>
          <w:p w:rsidR="009265EC" w:rsidRPr="009265EC" w:rsidRDefault="009265EC" w:rsidP="007B7CFD">
            <w:pPr>
              <w:ind w:left="709" w:hanging="638"/>
              <w:jc w:val="both"/>
              <w:rPr>
                <w:rFonts w:eastAsia="Calibri" w:cstheme="minorHAnsi"/>
              </w:rPr>
            </w:pPr>
            <w:r w:rsidRPr="009265EC">
              <w:rPr>
                <w:rFonts w:eastAsia="Calibri" w:cstheme="minorHAnsi"/>
              </w:rPr>
              <w:t>Odporność na kolce:</w:t>
            </w:r>
          </w:p>
          <w:p w:rsidR="009265EC" w:rsidRPr="009265EC" w:rsidRDefault="009265EC" w:rsidP="007B7CFD">
            <w:pPr>
              <w:ind w:left="709" w:hanging="638"/>
              <w:jc w:val="both"/>
              <w:rPr>
                <w:rFonts w:eastAsia="Calibri" w:cstheme="minorHAnsi"/>
              </w:rPr>
            </w:pPr>
            <w:r w:rsidRPr="009265EC">
              <w:rPr>
                <w:rFonts w:eastAsia="Calibri" w:cstheme="minorHAnsi"/>
              </w:rPr>
              <w:lastRenderedPageBreak/>
              <w:t>- spadek wytrzymałości na rozciąganie, %</w:t>
            </w:r>
          </w:p>
          <w:p w:rsidR="009265EC" w:rsidRPr="009265EC" w:rsidRDefault="009265EC" w:rsidP="007B7CFD">
            <w:pPr>
              <w:ind w:left="709" w:hanging="638"/>
              <w:jc w:val="both"/>
              <w:rPr>
                <w:rFonts w:eastAsia="Calibri" w:cstheme="minorHAnsi"/>
              </w:rPr>
            </w:pPr>
            <w:r w:rsidRPr="009265EC">
              <w:rPr>
                <w:rFonts w:eastAsia="Calibri" w:cstheme="minorHAnsi"/>
              </w:rPr>
              <w:t xml:space="preserve">- spadek wydłużenia względnego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265EC" w:rsidRPr="009265EC" w:rsidRDefault="009265EC" w:rsidP="007B7CFD">
            <w:pPr>
              <w:ind w:left="709" w:hanging="666"/>
              <w:jc w:val="both"/>
              <w:rPr>
                <w:rFonts w:eastAsia="Calibri" w:cstheme="minorHAnsi"/>
              </w:rPr>
            </w:pPr>
          </w:p>
          <w:p w:rsidR="009265EC" w:rsidRPr="009265EC" w:rsidRDefault="009265EC" w:rsidP="007B7CFD">
            <w:pPr>
              <w:ind w:left="709" w:hanging="666"/>
              <w:jc w:val="both"/>
              <w:rPr>
                <w:rFonts w:eastAsia="Calibri" w:cstheme="minorHAnsi"/>
              </w:rPr>
            </w:pPr>
          </w:p>
          <w:p w:rsidR="009265EC" w:rsidRPr="009265EC" w:rsidRDefault="009265EC" w:rsidP="007B7CFD">
            <w:pPr>
              <w:ind w:left="709" w:hanging="666"/>
              <w:jc w:val="both"/>
              <w:rPr>
                <w:rFonts w:eastAsia="Calibri" w:cstheme="minorHAnsi"/>
              </w:rPr>
            </w:pPr>
            <w:r w:rsidRPr="009265EC">
              <w:rPr>
                <w:rFonts w:eastAsia="Calibri" w:cstheme="minorHAnsi"/>
              </w:rPr>
              <w:lastRenderedPageBreak/>
              <w:t>≤ 20</w:t>
            </w:r>
          </w:p>
          <w:p w:rsidR="009265EC" w:rsidRPr="009265EC" w:rsidRDefault="009265EC" w:rsidP="007B7CFD">
            <w:pPr>
              <w:ind w:left="709" w:hanging="666"/>
              <w:jc w:val="both"/>
              <w:rPr>
                <w:rFonts w:eastAsia="Calibri" w:cstheme="minorHAnsi"/>
              </w:rPr>
            </w:pPr>
            <w:r w:rsidRPr="009265EC">
              <w:rPr>
                <w:rFonts w:eastAsia="Calibri" w:cstheme="minorHAnsi"/>
              </w:rPr>
              <w:t>≤ 20</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lastRenderedPageBreak/>
              <w:t>Odporność po przyśpieszonym starzeniu:</w:t>
            </w:r>
          </w:p>
          <w:p w:rsidR="009265EC" w:rsidRPr="009265EC" w:rsidRDefault="009265EC" w:rsidP="007B7CFD">
            <w:pPr>
              <w:ind w:left="709" w:hanging="638"/>
              <w:jc w:val="both"/>
              <w:rPr>
                <w:rFonts w:eastAsia="Calibri" w:cstheme="minorHAnsi"/>
              </w:rPr>
            </w:pPr>
            <w:r w:rsidRPr="009265EC">
              <w:rPr>
                <w:rFonts w:eastAsia="Calibri" w:cstheme="minorHAnsi"/>
              </w:rPr>
              <w:t>- wytrzymałość na rozciąganie, N/mm²</w:t>
            </w:r>
          </w:p>
          <w:p w:rsidR="009265EC" w:rsidRPr="009265EC" w:rsidRDefault="009265EC" w:rsidP="007B7CFD">
            <w:pPr>
              <w:ind w:left="709" w:hanging="638"/>
              <w:jc w:val="both"/>
              <w:rPr>
                <w:rFonts w:eastAsia="Calibri" w:cstheme="minorHAnsi"/>
              </w:rPr>
            </w:pPr>
            <w:r w:rsidRPr="009265EC">
              <w:rPr>
                <w:rFonts w:eastAsia="Calibri" w:cstheme="minorHAnsi"/>
              </w:rPr>
              <w:t xml:space="preserve">- wydłużenie względne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rPr>
              <w:t>, %</w:t>
            </w:r>
          </w:p>
          <w:p w:rsidR="009265EC" w:rsidRPr="009265EC" w:rsidRDefault="009265EC" w:rsidP="007B7CFD">
            <w:pPr>
              <w:ind w:left="709" w:hanging="638"/>
              <w:jc w:val="both"/>
              <w:rPr>
                <w:rFonts w:eastAsia="Calibri" w:cstheme="minorHAnsi"/>
              </w:rPr>
            </w:pPr>
            <w:r w:rsidRPr="009265EC">
              <w:rPr>
                <w:rFonts w:eastAsia="Calibri" w:cstheme="minorHAnsi"/>
              </w:rPr>
              <w:t>- amortyzacja, %</w:t>
            </w:r>
          </w:p>
          <w:p w:rsidR="009265EC" w:rsidRPr="009265EC" w:rsidRDefault="009265EC" w:rsidP="007B7CFD">
            <w:pPr>
              <w:ind w:left="709" w:hanging="496"/>
              <w:jc w:val="both"/>
              <w:rPr>
                <w:rFonts w:eastAsia="Calibri" w:cstheme="minorHAnsi"/>
              </w:rPr>
            </w:pPr>
            <w:r w:rsidRPr="009265EC">
              <w:rPr>
                <w:rFonts w:eastAsia="Calibri" w:cstheme="minorHAnsi"/>
              </w:rPr>
              <w:t>- nawierzchnia na obiekty lekkoatletyczne</w:t>
            </w:r>
          </w:p>
          <w:p w:rsidR="009265EC" w:rsidRPr="009265EC" w:rsidRDefault="009265EC" w:rsidP="007B7CFD">
            <w:pPr>
              <w:ind w:left="709" w:hanging="496"/>
              <w:jc w:val="both"/>
              <w:rPr>
                <w:rFonts w:eastAsia="Calibri" w:cstheme="minorHAnsi"/>
              </w:rPr>
            </w:pPr>
            <w:r w:rsidRPr="009265EC">
              <w:rPr>
                <w:rFonts w:eastAsia="Calibri" w:cstheme="minorHAnsi"/>
              </w:rPr>
              <w:t>- nawierzchnia na obiekty tenisowe</w:t>
            </w:r>
          </w:p>
          <w:p w:rsidR="009265EC" w:rsidRPr="009265EC" w:rsidRDefault="009265EC" w:rsidP="007B7CFD">
            <w:pPr>
              <w:ind w:left="709" w:hanging="496"/>
              <w:jc w:val="both"/>
              <w:rPr>
                <w:rFonts w:eastAsia="Calibri" w:cstheme="minorHAnsi"/>
              </w:rPr>
            </w:pPr>
            <w:r w:rsidRPr="009265EC">
              <w:rPr>
                <w:rFonts w:eastAsia="Calibri" w:cstheme="minorHAnsi"/>
              </w:rPr>
              <w:t xml:space="preserve">- nawierzchnia na obiekty typu </w:t>
            </w:r>
            <w:proofErr w:type="spellStart"/>
            <w:r w:rsidRPr="009265EC">
              <w:rPr>
                <w:rFonts w:eastAsia="Calibri" w:cstheme="minorHAnsi"/>
              </w:rPr>
              <w:t>multisport</w:t>
            </w:r>
            <w:proofErr w:type="spellEnd"/>
          </w:p>
          <w:p w:rsidR="009265EC" w:rsidRPr="009265EC" w:rsidRDefault="009265EC" w:rsidP="007B7CFD">
            <w:pPr>
              <w:ind w:left="709" w:hanging="638"/>
              <w:jc w:val="both"/>
              <w:rPr>
                <w:rFonts w:eastAsia="Calibri" w:cstheme="minorHAnsi"/>
              </w:rPr>
            </w:pPr>
            <w:r w:rsidRPr="009265EC">
              <w:rPr>
                <w:rFonts w:eastAsia="Calibri" w:cstheme="minorHAnsi"/>
              </w:rPr>
              <w:t>- odporność na kolce:</w:t>
            </w:r>
          </w:p>
          <w:p w:rsidR="009265EC" w:rsidRPr="009265EC" w:rsidRDefault="009265EC" w:rsidP="007B7CFD">
            <w:pPr>
              <w:ind w:left="709" w:hanging="496"/>
              <w:jc w:val="both"/>
              <w:rPr>
                <w:rFonts w:eastAsia="Calibri" w:cstheme="minorHAnsi"/>
              </w:rPr>
            </w:pPr>
            <w:r w:rsidRPr="009265EC">
              <w:rPr>
                <w:rFonts w:eastAsia="Calibri" w:cstheme="minorHAnsi"/>
              </w:rPr>
              <w:t xml:space="preserve">- wytrzymałość na rozciąganie po użyciu kolców, </w:t>
            </w:r>
            <w:proofErr w:type="spellStart"/>
            <w:r w:rsidRPr="009265EC">
              <w:rPr>
                <w:rFonts w:eastAsia="Calibri" w:cstheme="minorHAnsi"/>
              </w:rPr>
              <w:t>MPa</w:t>
            </w:r>
            <w:proofErr w:type="spellEnd"/>
          </w:p>
          <w:p w:rsidR="009265EC" w:rsidRPr="009265EC" w:rsidRDefault="009265EC" w:rsidP="007B7CFD">
            <w:pPr>
              <w:ind w:left="709" w:hanging="496"/>
              <w:jc w:val="both"/>
              <w:rPr>
                <w:rFonts w:eastAsia="Calibri" w:cstheme="minorHAnsi"/>
              </w:rPr>
            </w:pPr>
            <w:r w:rsidRPr="009265EC">
              <w:rPr>
                <w:rFonts w:eastAsia="Calibri" w:cstheme="minorHAnsi"/>
              </w:rPr>
              <w:t>- spadek wytrzymałości po działaniu kolców, %</w:t>
            </w:r>
          </w:p>
          <w:p w:rsidR="009265EC" w:rsidRPr="009265EC" w:rsidRDefault="009265EC" w:rsidP="007B7CFD">
            <w:pPr>
              <w:ind w:left="709" w:hanging="496"/>
              <w:jc w:val="both"/>
              <w:rPr>
                <w:rFonts w:eastAsia="Calibri" w:cstheme="minorHAnsi"/>
              </w:rPr>
            </w:pPr>
            <w:r w:rsidRPr="009265EC">
              <w:rPr>
                <w:rFonts w:eastAsia="Calibri" w:cstheme="minorHAnsi"/>
              </w:rPr>
              <w:t xml:space="preserve">- wydłużenie względne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vertAlign w:val="subscript"/>
              </w:rPr>
              <w:t xml:space="preserve"> </w:t>
            </w:r>
            <w:r w:rsidRPr="009265EC">
              <w:rPr>
                <w:rFonts w:eastAsia="Calibri" w:cstheme="minorHAnsi"/>
              </w:rPr>
              <w:t>po działaniu kolców, %</w:t>
            </w:r>
          </w:p>
          <w:p w:rsidR="009265EC" w:rsidRPr="009265EC" w:rsidRDefault="009265EC" w:rsidP="007B7CFD">
            <w:pPr>
              <w:ind w:left="709" w:hanging="496"/>
              <w:jc w:val="both"/>
              <w:rPr>
                <w:rFonts w:eastAsia="Calibri" w:cstheme="minorHAnsi"/>
              </w:rPr>
            </w:pPr>
            <w:r w:rsidRPr="009265EC">
              <w:rPr>
                <w:rFonts w:eastAsia="Calibri" w:cstheme="minorHAnsi"/>
              </w:rPr>
              <w:t xml:space="preserve">- spadek wydłużenia względnego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vertAlign w:val="subscript"/>
              </w:rPr>
              <w:t xml:space="preserve"> </w:t>
            </w:r>
            <w:r w:rsidRPr="009265EC">
              <w:rPr>
                <w:rFonts w:eastAsia="Calibri" w:cstheme="minorHAnsi"/>
              </w:rPr>
              <w:t>po działaniu kolców,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 0,4</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 40</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 </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35÷50 typ SA35÷50</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&gt;31 typ SA 31+</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35÷44 typ SA35÷44</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 </w:t>
            </w:r>
          </w:p>
          <w:p w:rsidR="009265EC" w:rsidRPr="009265EC" w:rsidRDefault="009265EC" w:rsidP="007B7CFD">
            <w:pPr>
              <w:ind w:left="709" w:hanging="666"/>
              <w:jc w:val="both"/>
              <w:rPr>
                <w:rFonts w:eastAsia="Calibri" w:cstheme="minorHAnsi"/>
              </w:rPr>
            </w:pPr>
            <w:r w:rsidRPr="009265EC">
              <w:rPr>
                <w:rFonts w:eastAsia="Calibri" w:cstheme="minorHAnsi"/>
              </w:rPr>
              <w:t>≥ 0,4</w:t>
            </w:r>
          </w:p>
          <w:p w:rsidR="009265EC" w:rsidRPr="009265EC" w:rsidRDefault="009265EC" w:rsidP="007B7CFD">
            <w:pPr>
              <w:ind w:left="709" w:hanging="666"/>
              <w:jc w:val="both"/>
              <w:rPr>
                <w:rFonts w:eastAsia="Calibri" w:cstheme="minorHAnsi"/>
              </w:rPr>
            </w:pPr>
            <w:r w:rsidRPr="009265EC">
              <w:rPr>
                <w:rFonts w:eastAsia="Calibri" w:cstheme="minorHAnsi"/>
              </w:rPr>
              <w:t>≤ 20</w:t>
            </w:r>
          </w:p>
          <w:p w:rsidR="009265EC" w:rsidRPr="009265EC" w:rsidRDefault="009265EC" w:rsidP="007B7CFD">
            <w:pPr>
              <w:ind w:left="709" w:hanging="666"/>
              <w:jc w:val="both"/>
              <w:rPr>
                <w:rFonts w:eastAsia="Calibri" w:cstheme="minorHAnsi"/>
              </w:rPr>
            </w:pPr>
            <w:r w:rsidRPr="009265EC">
              <w:rPr>
                <w:rFonts w:eastAsia="Calibri" w:cstheme="minorHAnsi"/>
              </w:rPr>
              <w:t>≥ 40</w:t>
            </w:r>
          </w:p>
          <w:p w:rsidR="009265EC" w:rsidRPr="009265EC" w:rsidRDefault="009265EC" w:rsidP="007B7CFD">
            <w:pPr>
              <w:ind w:left="709" w:hanging="666"/>
              <w:jc w:val="both"/>
              <w:rPr>
                <w:rFonts w:eastAsia="Calibri" w:cstheme="minorHAnsi"/>
              </w:rPr>
            </w:pPr>
            <w:r w:rsidRPr="009265EC">
              <w:rPr>
                <w:rFonts w:eastAsia="Calibri" w:cstheme="minorHAnsi"/>
              </w:rPr>
              <w:t>≤ 20</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Odporność po sztucznym starzeniu:</w:t>
            </w:r>
          </w:p>
          <w:p w:rsidR="009265EC" w:rsidRPr="009265EC" w:rsidRDefault="009265EC" w:rsidP="007B7CFD">
            <w:pPr>
              <w:ind w:left="709" w:hanging="638"/>
              <w:jc w:val="both"/>
              <w:rPr>
                <w:rFonts w:eastAsia="Calibri" w:cstheme="minorHAnsi"/>
              </w:rPr>
            </w:pPr>
            <w:r w:rsidRPr="009265EC">
              <w:rPr>
                <w:rFonts w:eastAsia="Calibri" w:cstheme="minorHAnsi"/>
              </w:rPr>
              <w:t xml:space="preserve">- odporność na zużycie (ścieranie </w:t>
            </w:r>
            <w:proofErr w:type="spellStart"/>
            <w:r w:rsidRPr="009265EC">
              <w:rPr>
                <w:rFonts w:eastAsia="Calibri" w:cstheme="minorHAnsi"/>
              </w:rPr>
              <w:t>Tabera</w:t>
            </w:r>
            <w:proofErr w:type="spellEnd"/>
            <w:r w:rsidRPr="009265EC">
              <w:rPr>
                <w:rFonts w:eastAsia="Calibri" w:cstheme="minorHAnsi"/>
              </w:rPr>
              <w:t>), g</w:t>
            </w:r>
          </w:p>
          <w:p w:rsidR="009265EC" w:rsidRPr="009265EC" w:rsidRDefault="009265EC" w:rsidP="007B7CFD">
            <w:pPr>
              <w:ind w:left="709" w:hanging="638"/>
              <w:jc w:val="both"/>
              <w:rPr>
                <w:rFonts w:eastAsia="Calibri" w:cstheme="minorHAnsi"/>
              </w:rPr>
            </w:pPr>
            <w:r w:rsidRPr="009265EC">
              <w:rPr>
                <w:rFonts w:eastAsia="Calibri" w:cstheme="minorHAnsi"/>
              </w:rPr>
              <w:t>- zmiana barwy, stopień skali szarej</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w:t>
            </w:r>
          </w:p>
          <w:p w:rsidR="009265EC" w:rsidRPr="009265EC" w:rsidRDefault="009265EC" w:rsidP="007B7CFD">
            <w:pPr>
              <w:ind w:left="709" w:hanging="666"/>
              <w:jc w:val="both"/>
              <w:rPr>
                <w:rFonts w:eastAsia="Calibri" w:cstheme="minorHAnsi"/>
              </w:rPr>
            </w:pPr>
            <w:r w:rsidRPr="009265EC">
              <w:rPr>
                <w:rFonts w:eastAsia="Calibri" w:cstheme="minorHAnsi"/>
              </w:rPr>
              <w:t>≤ 4</w:t>
            </w:r>
          </w:p>
          <w:p w:rsidR="009265EC" w:rsidRPr="009265EC" w:rsidRDefault="009265EC" w:rsidP="007B7CFD">
            <w:pPr>
              <w:ind w:left="709" w:hanging="666"/>
              <w:jc w:val="both"/>
              <w:rPr>
                <w:rFonts w:eastAsia="Calibri" w:cstheme="minorHAnsi"/>
              </w:rPr>
            </w:pPr>
            <w:r w:rsidRPr="009265EC">
              <w:rPr>
                <w:rFonts w:eastAsia="Calibri" w:cstheme="minorHAnsi"/>
              </w:rPr>
              <w:t>≥ 3</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Amortyzacja, %:</w:t>
            </w:r>
          </w:p>
          <w:p w:rsidR="009265EC" w:rsidRPr="009265EC" w:rsidRDefault="009265EC" w:rsidP="007B7CFD">
            <w:pPr>
              <w:ind w:left="709" w:hanging="638"/>
              <w:jc w:val="both"/>
              <w:rPr>
                <w:rFonts w:eastAsia="Calibri" w:cstheme="minorHAnsi"/>
              </w:rPr>
            </w:pPr>
            <w:r w:rsidRPr="009265EC">
              <w:rPr>
                <w:rFonts w:eastAsia="Calibri" w:cstheme="minorHAnsi"/>
              </w:rPr>
              <w:t>- nawierzchnia na obiekty lekkoatletyczne</w:t>
            </w:r>
          </w:p>
          <w:p w:rsidR="009265EC" w:rsidRPr="009265EC" w:rsidRDefault="009265EC" w:rsidP="007B7CFD">
            <w:pPr>
              <w:ind w:left="709" w:hanging="638"/>
              <w:jc w:val="both"/>
              <w:rPr>
                <w:rFonts w:eastAsia="Calibri" w:cstheme="minorHAnsi"/>
              </w:rPr>
            </w:pPr>
            <w:r w:rsidRPr="009265EC">
              <w:rPr>
                <w:rFonts w:eastAsia="Calibri" w:cstheme="minorHAnsi"/>
              </w:rPr>
              <w:t>- nawierzchnia na obiekty tenisowe</w:t>
            </w:r>
          </w:p>
          <w:p w:rsidR="009265EC" w:rsidRPr="009265EC" w:rsidRDefault="009265EC" w:rsidP="007B7CFD">
            <w:pPr>
              <w:ind w:left="709" w:hanging="638"/>
              <w:jc w:val="both"/>
              <w:rPr>
                <w:rFonts w:eastAsia="Calibri" w:cstheme="minorHAnsi"/>
              </w:rPr>
            </w:pPr>
            <w:r w:rsidRPr="009265EC">
              <w:rPr>
                <w:rFonts w:eastAsia="Calibri" w:cstheme="minorHAnsi"/>
              </w:rPr>
              <w:t xml:space="preserve">- nawierzchnia na obiekty typu </w:t>
            </w:r>
            <w:proofErr w:type="spellStart"/>
            <w:r w:rsidRPr="009265EC">
              <w:rPr>
                <w:rFonts w:eastAsia="Calibri" w:cstheme="minorHAnsi"/>
              </w:rPr>
              <w:t>multisport</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35÷50 typ SA35÷50</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&gt;31 typ SA 31+</w:t>
            </w:r>
          </w:p>
          <w:p w:rsidR="009265EC" w:rsidRPr="009265EC" w:rsidRDefault="009265EC" w:rsidP="007B7CFD">
            <w:pPr>
              <w:ind w:left="709" w:hanging="666"/>
              <w:jc w:val="both"/>
              <w:rPr>
                <w:rFonts w:eastAsia="Calibri" w:cstheme="minorHAnsi"/>
                <w:lang w:val="fr-FR"/>
              </w:rPr>
            </w:pPr>
            <w:r w:rsidRPr="009265EC">
              <w:rPr>
                <w:rFonts w:eastAsia="Calibri" w:cstheme="minorHAnsi"/>
                <w:lang w:val="fr-FR"/>
              </w:rPr>
              <w:t>35÷44 typ SA35÷44</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Odkształcenie pionowe, mm:</w:t>
            </w:r>
          </w:p>
          <w:p w:rsidR="009265EC" w:rsidRPr="009265EC" w:rsidRDefault="009265EC" w:rsidP="007B7CFD">
            <w:pPr>
              <w:ind w:left="709" w:hanging="638"/>
              <w:jc w:val="both"/>
              <w:rPr>
                <w:rFonts w:eastAsia="Calibri" w:cstheme="minorHAnsi"/>
              </w:rPr>
            </w:pPr>
            <w:r w:rsidRPr="009265EC">
              <w:rPr>
                <w:rFonts w:eastAsia="Calibri" w:cstheme="minorHAnsi"/>
              </w:rPr>
              <w:t>- nawierzchnia na obiekty lekkoatletyczne</w:t>
            </w:r>
          </w:p>
          <w:p w:rsidR="009265EC" w:rsidRPr="009265EC" w:rsidRDefault="009265EC" w:rsidP="007B7CFD">
            <w:pPr>
              <w:ind w:left="709" w:hanging="638"/>
              <w:jc w:val="both"/>
              <w:rPr>
                <w:rFonts w:eastAsia="Calibri" w:cstheme="minorHAnsi"/>
              </w:rPr>
            </w:pPr>
            <w:r w:rsidRPr="009265EC">
              <w:rPr>
                <w:rFonts w:eastAsia="Calibri" w:cstheme="minorHAnsi"/>
              </w:rPr>
              <w:t>- nawierzchnia na obiekty tenisowe</w:t>
            </w:r>
          </w:p>
          <w:p w:rsidR="009265EC" w:rsidRPr="009265EC" w:rsidRDefault="009265EC" w:rsidP="007B7CFD">
            <w:pPr>
              <w:ind w:left="709" w:hanging="638"/>
              <w:jc w:val="both"/>
              <w:rPr>
                <w:rFonts w:eastAsia="Calibri" w:cstheme="minorHAnsi"/>
              </w:rPr>
            </w:pPr>
            <w:r w:rsidRPr="009265EC">
              <w:rPr>
                <w:rFonts w:eastAsia="Calibri" w:cstheme="minorHAnsi"/>
              </w:rPr>
              <w:t xml:space="preserve">- nawierzchnia na obiekty typu </w:t>
            </w:r>
            <w:proofErr w:type="spellStart"/>
            <w:r w:rsidRPr="009265EC">
              <w:rPr>
                <w:rFonts w:eastAsia="Calibri" w:cstheme="minorHAnsi"/>
              </w:rPr>
              <w:t>multisport</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w:t>
            </w:r>
          </w:p>
          <w:p w:rsidR="009265EC" w:rsidRPr="009265EC" w:rsidRDefault="009265EC" w:rsidP="007B7CFD">
            <w:pPr>
              <w:ind w:left="709" w:hanging="666"/>
              <w:jc w:val="both"/>
              <w:rPr>
                <w:rFonts w:eastAsia="Calibri" w:cstheme="minorHAnsi"/>
              </w:rPr>
            </w:pPr>
            <w:r w:rsidRPr="009265EC">
              <w:rPr>
                <w:rFonts w:eastAsia="Calibri" w:cstheme="minorHAnsi"/>
              </w:rPr>
              <w:t>≤ 3</w:t>
            </w:r>
          </w:p>
          <w:p w:rsidR="009265EC" w:rsidRPr="009265EC" w:rsidRDefault="009265EC" w:rsidP="007B7CFD">
            <w:pPr>
              <w:ind w:left="709" w:hanging="666"/>
              <w:jc w:val="both"/>
              <w:rPr>
                <w:rFonts w:eastAsia="Calibri" w:cstheme="minorHAnsi"/>
              </w:rPr>
            </w:pPr>
            <w:r w:rsidRPr="009265EC">
              <w:rPr>
                <w:rFonts w:eastAsia="Calibri" w:cstheme="minorHAnsi"/>
              </w:rPr>
              <w:t>≤ 3</w:t>
            </w:r>
          </w:p>
          <w:p w:rsidR="009265EC" w:rsidRPr="009265EC" w:rsidRDefault="009265EC" w:rsidP="007B7CFD">
            <w:pPr>
              <w:ind w:left="709" w:hanging="666"/>
              <w:jc w:val="both"/>
              <w:rPr>
                <w:rFonts w:eastAsia="Calibri" w:cstheme="minorHAnsi"/>
              </w:rPr>
            </w:pPr>
            <w:r w:rsidRPr="009265EC">
              <w:rPr>
                <w:rFonts w:eastAsia="Calibri" w:cstheme="minorHAnsi"/>
              </w:rPr>
              <w:t>≤ 6</w:t>
            </w:r>
          </w:p>
        </w:tc>
      </w:tr>
      <w:tr w:rsidR="009265EC"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38"/>
              <w:jc w:val="both"/>
              <w:rPr>
                <w:rFonts w:eastAsia="Calibri" w:cstheme="minorHAnsi"/>
              </w:rPr>
            </w:pPr>
            <w:r w:rsidRPr="009265EC">
              <w:rPr>
                <w:rFonts w:eastAsia="Calibri" w:cstheme="minorHAnsi"/>
              </w:rPr>
              <w:t>Zachowanie się piłki odbitej pionowo:</w:t>
            </w:r>
          </w:p>
          <w:p w:rsidR="009265EC" w:rsidRPr="009265EC" w:rsidRDefault="009265EC" w:rsidP="007B7CFD">
            <w:pPr>
              <w:ind w:left="709" w:hanging="638"/>
              <w:jc w:val="both"/>
              <w:rPr>
                <w:rFonts w:eastAsia="Calibri" w:cstheme="minorHAnsi"/>
              </w:rPr>
            </w:pPr>
            <w:r w:rsidRPr="009265EC">
              <w:rPr>
                <w:rFonts w:eastAsia="Calibri" w:cstheme="minorHAnsi"/>
              </w:rPr>
              <w:t xml:space="preserve">- piłka koszykowa, %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265EC" w:rsidRPr="009265EC" w:rsidRDefault="009265EC" w:rsidP="007B7CFD">
            <w:pPr>
              <w:ind w:left="709" w:hanging="666"/>
              <w:jc w:val="both"/>
              <w:rPr>
                <w:rFonts w:eastAsia="Calibri" w:cstheme="minorHAnsi"/>
              </w:rPr>
            </w:pPr>
            <w:r w:rsidRPr="009265EC">
              <w:rPr>
                <w:rFonts w:eastAsia="Calibri" w:cstheme="minorHAnsi"/>
              </w:rPr>
              <w:t> </w:t>
            </w:r>
          </w:p>
          <w:p w:rsidR="009265EC" w:rsidRPr="009265EC" w:rsidRDefault="009265EC" w:rsidP="007B7CFD">
            <w:pPr>
              <w:ind w:left="709" w:hanging="666"/>
              <w:jc w:val="both"/>
              <w:rPr>
                <w:rFonts w:eastAsia="Calibri" w:cstheme="minorHAnsi"/>
              </w:rPr>
            </w:pPr>
            <w:r w:rsidRPr="009265EC">
              <w:rPr>
                <w:rFonts w:eastAsia="Calibri" w:cstheme="minorHAnsi"/>
              </w:rPr>
              <w:t>≥ 85</w:t>
            </w:r>
          </w:p>
        </w:tc>
      </w:tr>
    </w:tbl>
    <w:p w:rsidR="009265EC" w:rsidRPr="009265EC" w:rsidRDefault="009265EC" w:rsidP="009265EC">
      <w:pPr>
        <w:pStyle w:val="Akapitzlist"/>
        <w:ind w:left="0" w:hanging="284"/>
        <w:rPr>
          <w:rFonts w:cstheme="minorHAnsi"/>
        </w:rPr>
      </w:pPr>
    </w:p>
    <w:p w:rsidR="009265EC" w:rsidRPr="009265EC" w:rsidRDefault="009265EC" w:rsidP="009265EC">
      <w:pPr>
        <w:pStyle w:val="Akapitzlist"/>
        <w:ind w:left="0"/>
        <w:jc w:val="both"/>
        <w:rPr>
          <w:rFonts w:cstheme="minorHAnsi"/>
        </w:rPr>
      </w:pPr>
      <w:r w:rsidRPr="009265EC">
        <w:rPr>
          <w:rFonts w:cstheme="minorHAnsi"/>
        </w:rPr>
        <w:t>Powyższy wyciąg z wytycznych aktualnej normy PN-EN 14877:2014-02 dowodzi, że PFU podaje wartości w sposób niezgodny z aktualna normą, poza wytrzymałością na rozciąganie i wydłużeniem podaje parametry nienormatywne tj. nie występujące w aktualnej normie PN-EN 14877:2014-02.</w:t>
      </w:r>
    </w:p>
    <w:p w:rsidR="009265EC" w:rsidRPr="009265EC" w:rsidRDefault="009265EC" w:rsidP="001D0B3B">
      <w:pPr>
        <w:pStyle w:val="Akapitzlist"/>
        <w:ind w:left="0"/>
        <w:jc w:val="both"/>
        <w:rPr>
          <w:rFonts w:cstheme="minorHAnsi"/>
        </w:rPr>
      </w:pPr>
      <w:r w:rsidRPr="009265EC">
        <w:rPr>
          <w:rFonts w:cstheme="minorHAnsi"/>
        </w:rPr>
        <w:lastRenderedPageBreak/>
        <w:t xml:space="preserve">Powyższe wymaga stosownej korekty na parametry zgodne z aktualną normą PN-EN 14877:2014-02 oraz korekty </w:t>
      </w:r>
      <w:r w:rsidRPr="009265EC">
        <w:rPr>
          <w:rFonts w:eastAsia="Calibri" w:cstheme="minorHAnsi"/>
        </w:rPr>
        <w:t xml:space="preserve">wymagań dla mrozoodporności tj. </w:t>
      </w:r>
      <w:r w:rsidRPr="009265EC">
        <w:rPr>
          <w:rFonts w:cstheme="minorHAnsi"/>
        </w:rPr>
        <w:t xml:space="preserve">badanie na mrozoodporność wykonane wg dedykowanej do nawierzchni PU metodzie opracowanej przez ITB - PB LT-055/1/03-2001, o co wnosimy. </w:t>
      </w:r>
    </w:p>
    <w:p w:rsidR="009265EC" w:rsidRPr="009265EC" w:rsidRDefault="009265EC" w:rsidP="009265EC">
      <w:pPr>
        <w:pStyle w:val="Akapitzlist"/>
        <w:ind w:left="0"/>
        <w:jc w:val="both"/>
        <w:rPr>
          <w:rFonts w:cstheme="minorHAnsi"/>
        </w:rPr>
      </w:pPr>
      <w:r w:rsidRPr="009265EC">
        <w:rPr>
          <w:rFonts w:cstheme="minorHAnsi"/>
        </w:rPr>
        <w:t xml:space="preserve">Zamawiający nie podał żadnego obiektywnego argumentu popartego opinią niezależnej instytucji, że określone w projekcie zamiennym wymagania dla nawierzchni PU są zasadne. De facto Zamawiający nie mógł podać takich obiektywnych argumentów ponieważ nie występują. Zwracamy uwagę, że Zamawiający wydaje środki publiczne w oparciu o ustawę </w:t>
      </w:r>
      <w:proofErr w:type="spellStart"/>
      <w:r w:rsidRPr="009265EC">
        <w:rPr>
          <w:rFonts w:cstheme="minorHAnsi"/>
        </w:rPr>
        <w:t>pzp</w:t>
      </w:r>
      <w:proofErr w:type="spellEnd"/>
      <w:r w:rsidRPr="009265EC">
        <w:rPr>
          <w:rFonts w:cstheme="minorHAnsi"/>
        </w:rPr>
        <w:t xml:space="preserve"> więc musi trzymać się obowiązujących norm.</w:t>
      </w:r>
    </w:p>
    <w:p w:rsidR="009265EC" w:rsidRPr="009265EC" w:rsidRDefault="009265EC" w:rsidP="009265EC">
      <w:pPr>
        <w:pStyle w:val="Akapitzlist"/>
        <w:ind w:left="0"/>
        <w:jc w:val="both"/>
        <w:rPr>
          <w:rFonts w:cstheme="minorHAnsi"/>
        </w:rPr>
      </w:pPr>
      <w:r w:rsidRPr="009265EC">
        <w:rPr>
          <w:rFonts w:cstheme="minorHAnsi"/>
        </w:rPr>
        <w:t xml:space="preserve">Jeśli Zamawiający ma wątpliwości do przedstawianych przez nas obiektywnych argumentów to rekomendujemy zapoznanie się z aktualnymi wytycznymi dla nawierzchni sportowych poprzez kontakt z niezależną instytucją zajmującą się nawierzchniami sportowymi tj. Instytutem Sportu </w:t>
      </w:r>
    </w:p>
    <w:p w:rsidR="009265EC" w:rsidRPr="009265EC" w:rsidRDefault="00A36747" w:rsidP="009265EC">
      <w:pPr>
        <w:pStyle w:val="Akapitzlist"/>
        <w:ind w:left="0"/>
        <w:jc w:val="both"/>
        <w:rPr>
          <w:rFonts w:cstheme="minorHAnsi"/>
        </w:rPr>
      </w:pPr>
      <w:hyperlink r:id="rId7" w:history="1">
        <w:r w:rsidR="009265EC" w:rsidRPr="009265EC">
          <w:rPr>
            <w:rStyle w:val="Hipercze"/>
            <w:rFonts w:cstheme="minorHAnsi"/>
            <w:color w:val="auto"/>
          </w:rPr>
          <w:t>https://insp.pl/instytut-insp/jednostki-organizacyjne/zespol-certyfikacji</w:t>
        </w:r>
      </w:hyperlink>
    </w:p>
    <w:p w:rsidR="009265EC" w:rsidRPr="009265EC" w:rsidRDefault="009265EC" w:rsidP="009265EC">
      <w:pPr>
        <w:pStyle w:val="Akapitzlist"/>
        <w:ind w:left="0"/>
        <w:jc w:val="both"/>
        <w:rPr>
          <w:rFonts w:cstheme="minorHAnsi"/>
        </w:rPr>
      </w:pPr>
      <w:r w:rsidRPr="009265EC">
        <w:rPr>
          <w:rFonts w:cstheme="minorHAnsi"/>
        </w:rPr>
        <w:t>Powyższe potwierdzi, że nasze argumenty są obiektywne i właściwe.</w:t>
      </w:r>
    </w:p>
    <w:p w:rsidR="009265EC" w:rsidRPr="001D0B3B" w:rsidRDefault="009265EC" w:rsidP="009265EC">
      <w:pPr>
        <w:jc w:val="both"/>
        <w:rPr>
          <w:rFonts w:cstheme="minorHAnsi"/>
          <w:bCs/>
        </w:rPr>
      </w:pPr>
      <w:r w:rsidRPr="001D0B3B">
        <w:rPr>
          <w:rFonts w:cstheme="minorHAnsi"/>
          <w:bCs/>
        </w:rPr>
        <w:t>W związku z powyższym wnosimy o usunięcie wady tj. stosowną korektę parametrów na zgodne</w:t>
      </w:r>
      <w:r w:rsidR="001D0B3B" w:rsidRPr="001D0B3B">
        <w:rPr>
          <w:rFonts w:cstheme="minorHAnsi"/>
          <w:bCs/>
        </w:rPr>
        <w:t xml:space="preserve">                     </w:t>
      </w:r>
      <w:r w:rsidRPr="001D0B3B">
        <w:rPr>
          <w:rFonts w:cstheme="minorHAnsi"/>
          <w:bCs/>
        </w:rPr>
        <w:t xml:space="preserve"> z aktualną normą PN-EN 14877:2014-02 a wymagań dla mrozoodporności tj. badanie na mrozoodporność wykonane wg dedykowanej do nawierzchni PU metodzie opracowanej przez ITB - PB LT-055/1/03-2001.</w:t>
      </w:r>
    </w:p>
    <w:p w:rsidR="009265EC" w:rsidRPr="001D0B3B" w:rsidRDefault="009265EC" w:rsidP="009265EC">
      <w:pPr>
        <w:jc w:val="both"/>
        <w:rPr>
          <w:rFonts w:cstheme="minorHAnsi"/>
          <w:bCs/>
        </w:rPr>
      </w:pPr>
      <w:r w:rsidRPr="001D0B3B">
        <w:rPr>
          <w:rFonts w:cstheme="minorHAnsi"/>
          <w:bCs/>
        </w:rPr>
        <w:t>Zaznaczamy, że nie chodzi o to aby Zamawiający obniżył jakość zamawianej nawierzchni PU tylko o to aby opisał wymagania dotyczące nawierzchni w sposób zgodny ze standardami w branży. Wyprzedzając ewentualne stanowisko Zamawiającego, że podane wymagania są minimalne informujemy, że takie założenie jest błędne ponieważ wymagania muszą się odnosić do aktualnych standardów w branży czyli aktualnej normy.</w:t>
      </w:r>
    </w:p>
    <w:p w:rsidR="009265EC" w:rsidRPr="001D0B3B" w:rsidRDefault="009265EC" w:rsidP="009265EC">
      <w:pPr>
        <w:jc w:val="both"/>
        <w:rPr>
          <w:rFonts w:cstheme="minorHAnsi"/>
          <w:bCs/>
        </w:rPr>
      </w:pPr>
      <w:r w:rsidRPr="001D0B3B">
        <w:rPr>
          <w:rFonts w:cstheme="minorHAnsi"/>
          <w:bCs/>
        </w:rPr>
        <w:t>Wyprzedzając ewentualne stanowisko Zamawiającego, że podane wymagania są minimalne informujemy, że takie założenie jest błędne ponieważ wymagania muszą się odnosić do aktualnych standardów w branży czyli aktualnej normy a Zamawiający nie może stawiać się w roli decydenta ponad nimi i nimi wybiórczo manipulować. Zamawiający jak i każdy inny musi stosować się to parametrów określonych przez aktualną normę i nie może nią manipulować i ustalać własnych wymagań.</w:t>
      </w:r>
    </w:p>
    <w:p w:rsidR="009265EC" w:rsidRPr="001D0B3B" w:rsidRDefault="009265EC" w:rsidP="009265EC">
      <w:pPr>
        <w:jc w:val="both"/>
        <w:rPr>
          <w:rFonts w:cstheme="minorHAnsi"/>
          <w:bCs/>
          <w:u w:val="single"/>
        </w:rPr>
      </w:pPr>
      <w:r w:rsidRPr="001D0B3B">
        <w:rPr>
          <w:rFonts w:cstheme="minorHAnsi"/>
          <w:bCs/>
          <w:u w:val="single"/>
        </w:rPr>
        <w:t>Jeśli Zamawiający utrzyma wymagania lub zmieni je iluzorycznie manipulując nimi tak aby utrzymać status ograniczenia konkurencji, żądamy jednocześnie:</w:t>
      </w:r>
    </w:p>
    <w:p w:rsidR="009265EC" w:rsidRPr="001D0B3B" w:rsidRDefault="009265EC" w:rsidP="009265EC">
      <w:pPr>
        <w:jc w:val="both"/>
        <w:rPr>
          <w:rFonts w:cstheme="minorHAnsi"/>
          <w:bCs/>
        </w:rPr>
      </w:pPr>
      <w:r w:rsidRPr="001D0B3B">
        <w:rPr>
          <w:rFonts w:cstheme="minorHAnsi"/>
          <w:bCs/>
        </w:rPr>
        <w:t>- przedstawienia przez Zamawiającego opinii niezależnej instytucji jak np. ITB, Instytutu Sportu lub równoważnej, z których treści jasno wynika, że określenie wymagań projektowych jest zasadne</w:t>
      </w:r>
    </w:p>
    <w:p w:rsidR="009265EC" w:rsidRPr="001D0B3B" w:rsidRDefault="009265EC" w:rsidP="009265EC">
      <w:pPr>
        <w:jc w:val="both"/>
        <w:rPr>
          <w:rFonts w:cstheme="minorHAnsi"/>
          <w:bCs/>
        </w:rPr>
      </w:pPr>
      <w:r w:rsidRPr="001D0B3B">
        <w:rPr>
          <w:rFonts w:cstheme="minorHAnsi"/>
          <w:bCs/>
        </w:rPr>
        <w:t>- wskazania min. 3 nawierzchni różnych producentów dostępnych na rynku, które spełniają wymagania Zamawiającego.</w:t>
      </w:r>
    </w:p>
    <w:p w:rsidR="009265EC" w:rsidRPr="001D0B3B" w:rsidRDefault="009265EC" w:rsidP="001D0B3B">
      <w:pPr>
        <w:pStyle w:val="Akapitzlist"/>
        <w:numPr>
          <w:ilvl w:val="0"/>
          <w:numId w:val="26"/>
        </w:numPr>
        <w:spacing w:after="0" w:line="240" w:lineRule="auto"/>
        <w:ind w:left="0" w:firstLine="0"/>
        <w:contextualSpacing w:val="0"/>
        <w:jc w:val="both"/>
        <w:rPr>
          <w:rFonts w:eastAsia="Times New Roman" w:cstheme="minorHAnsi"/>
          <w:bCs/>
        </w:rPr>
      </w:pPr>
      <w:r w:rsidRPr="001D0B3B">
        <w:rPr>
          <w:rFonts w:cstheme="minorHAnsi"/>
        </w:rPr>
        <w:t>Jaką kwotę zamierza przeznaczyć Zamawiający na przedmiotowe zadanie?</w:t>
      </w:r>
    </w:p>
    <w:p w:rsidR="009265EC" w:rsidRPr="001D0B3B" w:rsidRDefault="009265EC" w:rsidP="009265EC">
      <w:pPr>
        <w:jc w:val="both"/>
        <w:rPr>
          <w:rFonts w:cstheme="minorHAnsi"/>
        </w:rPr>
      </w:pPr>
      <w:r w:rsidRPr="001D0B3B">
        <w:rPr>
          <w:rFonts w:cstheme="minorHAnsi"/>
        </w:rPr>
        <w:t>Informacja ta jest niezbędna dla ograniczenia zaangażowania wykonawcy, którego oferta przekroczy budżet Zamawiającego. Przygotowanie oferty generuje stosunkowo dużo czasu i koszty wykonawcy. Jeśli wykonawca zna budżet zamawiającego to może zdecydować czy jest zainteresowany postępowaniem. Brak informacji o budżecie może powodować niepotrzebną stratę wykonawcy.</w:t>
      </w:r>
    </w:p>
    <w:p w:rsidR="009265EC" w:rsidRPr="001D0B3B" w:rsidRDefault="009265EC" w:rsidP="009265EC">
      <w:pPr>
        <w:jc w:val="both"/>
        <w:rPr>
          <w:rFonts w:cstheme="minorHAnsi"/>
        </w:rPr>
      </w:pPr>
      <w:r w:rsidRPr="001D0B3B">
        <w:rPr>
          <w:rFonts w:cstheme="minorHAnsi"/>
        </w:rPr>
        <w:t xml:space="preserve">Jeśli Zamawiający nie poda w odpowiedzi jaką kwotę zamierza przeznaczyć na przedmiotowe zadanie, żądamy zmiany SWZ poprzez rezygnację z wadium. Należy obiektywnie stwierdzić, że ukrywanie informacji o wartości kwoty przeznaczonej na zadanie kiedy kwota Zamawiającego jest zbyt niska </w:t>
      </w:r>
      <w:r w:rsidR="001D0B3B">
        <w:rPr>
          <w:rFonts w:cstheme="minorHAnsi"/>
        </w:rPr>
        <w:t xml:space="preserve">                      </w:t>
      </w:r>
      <w:r w:rsidRPr="001D0B3B">
        <w:rPr>
          <w:rFonts w:cstheme="minorHAnsi"/>
        </w:rPr>
        <w:lastRenderedPageBreak/>
        <w:t>w stosunku do złożonej oferty, wymaganie wadium jest co najmniej niefortunne ponieważ wniesienie wadium generuje wymierne koszty wykonawcy.</w:t>
      </w:r>
    </w:p>
    <w:p w:rsidR="009265EC" w:rsidRPr="001D0B3B" w:rsidRDefault="009265EC" w:rsidP="009265EC">
      <w:pPr>
        <w:pStyle w:val="Akapitzlist"/>
        <w:numPr>
          <w:ilvl w:val="0"/>
          <w:numId w:val="26"/>
        </w:numPr>
        <w:spacing w:after="0" w:line="240" w:lineRule="auto"/>
        <w:ind w:left="0" w:hanging="426"/>
        <w:contextualSpacing w:val="0"/>
        <w:jc w:val="both"/>
        <w:rPr>
          <w:rFonts w:eastAsia="Times New Roman" w:cstheme="minorHAnsi"/>
          <w:b/>
          <w:bCs/>
        </w:rPr>
      </w:pPr>
      <w:r w:rsidRPr="001D0B3B">
        <w:rPr>
          <w:rFonts w:cstheme="minorHAnsi"/>
        </w:rPr>
        <w:t>Umowa określa termin realizacji na 13 miesięcy od dnia podpisania umowy. Czy jest możliwe zakończenie i rozliczenie całego zadania w br.?</w:t>
      </w:r>
    </w:p>
    <w:p w:rsidR="009265EC" w:rsidRPr="001D0B3B" w:rsidRDefault="009265EC" w:rsidP="009265EC">
      <w:pPr>
        <w:pStyle w:val="Akapitzlist"/>
        <w:ind w:left="0"/>
        <w:jc w:val="both"/>
        <w:rPr>
          <w:rFonts w:cstheme="minorHAnsi"/>
        </w:rPr>
      </w:pPr>
    </w:p>
    <w:p w:rsidR="009265EC" w:rsidRPr="001D0B3B" w:rsidRDefault="009265EC" w:rsidP="009265EC">
      <w:pPr>
        <w:pStyle w:val="Akapitzlist"/>
        <w:numPr>
          <w:ilvl w:val="0"/>
          <w:numId w:val="26"/>
        </w:numPr>
        <w:spacing w:after="0" w:line="240" w:lineRule="auto"/>
        <w:ind w:left="0" w:hanging="426"/>
        <w:contextualSpacing w:val="0"/>
        <w:jc w:val="both"/>
        <w:rPr>
          <w:rFonts w:eastAsia="Times New Roman" w:cstheme="minorHAnsi"/>
          <w:b/>
          <w:bCs/>
        </w:rPr>
      </w:pPr>
      <w:r w:rsidRPr="001D0B3B">
        <w:rPr>
          <w:rFonts w:cstheme="minorHAnsi"/>
        </w:rPr>
        <w:t>W związku z zapisem umowy (§6 ust. 14) proszę o odpowiedź na tym etapie czy Zamawiający dopuści możliwość zawarcia umowy przelewu wierzytelności z podwykonawcą lub dostawcą w celu zapłaty jego wynagrodzenia bezpośrednio przez Zamawiającego.</w:t>
      </w:r>
    </w:p>
    <w:p w:rsidR="009265EC" w:rsidRPr="001D0B3B" w:rsidRDefault="009265EC" w:rsidP="009265EC">
      <w:pPr>
        <w:pStyle w:val="Akapitzlist"/>
        <w:ind w:left="0"/>
        <w:jc w:val="both"/>
        <w:rPr>
          <w:rFonts w:cstheme="minorHAnsi"/>
        </w:rPr>
      </w:pPr>
    </w:p>
    <w:p w:rsidR="009265EC" w:rsidRPr="001D0B3B" w:rsidRDefault="009265EC" w:rsidP="009265EC">
      <w:pPr>
        <w:pStyle w:val="Akapitzlist"/>
        <w:numPr>
          <w:ilvl w:val="0"/>
          <w:numId w:val="26"/>
        </w:numPr>
        <w:spacing w:after="0" w:line="240" w:lineRule="auto"/>
        <w:ind w:left="0" w:hanging="426"/>
        <w:contextualSpacing w:val="0"/>
        <w:jc w:val="both"/>
        <w:rPr>
          <w:rFonts w:eastAsia="Times New Roman" w:cstheme="minorHAnsi"/>
          <w:b/>
          <w:bCs/>
        </w:rPr>
      </w:pPr>
      <w:r w:rsidRPr="001D0B3B">
        <w:rPr>
          <w:rFonts w:cstheme="minorHAnsi"/>
        </w:rPr>
        <w:t>W związku z zapisem umowy (§6 ust. 14) proszę o odpowiedź na tym etapie czy Zamawiający dopuści możliwość zawarcia umowy przelewu wierzytelności z bankiem kredytującym finasowanie realizacji przedmiotowego zadania.</w:t>
      </w:r>
    </w:p>
    <w:p w:rsidR="009265EC" w:rsidRPr="001D0B3B" w:rsidRDefault="009265EC" w:rsidP="009265EC">
      <w:pPr>
        <w:pStyle w:val="Akapitzlist"/>
        <w:ind w:left="284" w:hanging="426"/>
        <w:jc w:val="both"/>
        <w:rPr>
          <w:rFonts w:cstheme="minorHAnsi"/>
        </w:rPr>
      </w:pPr>
    </w:p>
    <w:p w:rsidR="009265EC" w:rsidRPr="001D0B3B" w:rsidRDefault="009265EC" w:rsidP="009265EC">
      <w:pPr>
        <w:pStyle w:val="Akapitzlist"/>
        <w:numPr>
          <w:ilvl w:val="0"/>
          <w:numId w:val="26"/>
        </w:numPr>
        <w:spacing w:after="0" w:line="240" w:lineRule="auto"/>
        <w:ind w:left="0" w:hanging="426"/>
        <w:contextualSpacing w:val="0"/>
        <w:jc w:val="both"/>
        <w:rPr>
          <w:rFonts w:eastAsia="Times New Roman" w:cstheme="minorHAnsi"/>
          <w:b/>
          <w:bCs/>
        </w:rPr>
      </w:pPr>
      <w:r w:rsidRPr="001D0B3B">
        <w:rPr>
          <w:rFonts w:cstheme="minorHAnsi"/>
        </w:rPr>
        <w:t>Proszę o potwierdzenie, że Zamawiający dysponuje wszelkimi wymaganymi prawem decyzjami administracyjnymi oraz uzgodnieniami niezbędnymi w celu wykonania zamówienia, które zachowują ważność na okres zgodny z wymaganym terminem realizacji, a skutki ewentualnych braków w tym zakresie nie obciążają Wykonawcy.</w:t>
      </w:r>
    </w:p>
    <w:p w:rsidR="009265EC" w:rsidRPr="001D0B3B" w:rsidRDefault="009265EC" w:rsidP="009265EC">
      <w:pPr>
        <w:pStyle w:val="Akapitzlist"/>
        <w:ind w:left="284" w:hanging="426"/>
        <w:jc w:val="both"/>
        <w:rPr>
          <w:rFonts w:cstheme="minorHAnsi"/>
        </w:rPr>
      </w:pPr>
    </w:p>
    <w:p w:rsidR="009265EC" w:rsidRPr="001D0B3B" w:rsidRDefault="009265EC" w:rsidP="009265EC">
      <w:pPr>
        <w:pStyle w:val="Akapitzlist"/>
        <w:numPr>
          <w:ilvl w:val="0"/>
          <w:numId w:val="26"/>
        </w:numPr>
        <w:spacing w:after="0" w:line="240" w:lineRule="auto"/>
        <w:ind w:left="0" w:hanging="426"/>
        <w:contextualSpacing w:val="0"/>
        <w:jc w:val="both"/>
        <w:rPr>
          <w:rFonts w:eastAsia="Times New Roman" w:cstheme="minorHAnsi"/>
          <w:b/>
          <w:bCs/>
        </w:rPr>
      </w:pPr>
      <w:r w:rsidRPr="001D0B3B">
        <w:rPr>
          <w:rFonts w:cstheme="minorHAnsi"/>
        </w:rPr>
        <w:t>Czy w ramach strefy zamawianych robót występują jakiekolwiek sieci lub inne kolizje?</w:t>
      </w:r>
    </w:p>
    <w:p w:rsidR="009265EC" w:rsidRPr="001D0B3B" w:rsidRDefault="009265EC" w:rsidP="009265EC">
      <w:pPr>
        <w:pStyle w:val="Akapitzlist"/>
        <w:ind w:left="284" w:hanging="284"/>
        <w:jc w:val="both"/>
        <w:rPr>
          <w:rFonts w:cstheme="minorHAnsi"/>
        </w:rPr>
      </w:pPr>
      <w:r w:rsidRPr="001D0B3B">
        <w:rPr>
          <w:rFonts w:cstheme="minorHAnsi"/>
        </w:rPr>
        <w:t>Jeśli występują to wnosimy o udostępnienie stosownej inwentaryzacji z opisem i mapą.</w:t>
      </w:r>
    </w:p>
    <w:p w:rsidR="009265EC" w:rsidRPr="001D0B3B" w:rsidRDefault="009265EC" w:rsidP="009265EC">
      <w:pPr>
        <w:pStyle w:val="Akapitzlist"/>
        <w:ind w:left="284" w:hanging="284"/>
        <w:jc w:val="both"/>
        <w:rPr>
          <w:rFonts w:cstheme="minorHAnsi"/>
        </w:rPr>
      </w:pPr>
    </w:p>
    <w:p w:rsidR="009265EC" w:rsidRPr="001D0B3B" w:rsidRDefault="009265EC" w:rsidP="009265EC">
      <w:pPr>
        <w:pStyle w:val="Akapitzlist"/>
        <w:numPr>
          <w:ilvl w:val="0"/>
          <w:numId w:val="26"/>
        </w:numPr>
        <w:spacing w:after="0" w:line="240" w:lineRule="auto"/>
        <w:ind w:left="0" w:hanging="426"/>
        <w:contextualSpacing w:val="0"/>
        <w:jc w:val="both"/>
        <w:rPr>
          <w:rFonts w:eastAsia="Times New Roman" w:cstheme="minorHAnsi"/>
          <w:b/>
          <w:bCs/>
        </w:rPr>
      </w:pPr>
      <w:r w:rsidRPr="001D0B3B">
        <w:rPr>
          <w:rFonts w:cstheme="minorHAnsi"/>
        </w:rPr>
        <w:t>Czy występują ograniczenia w dojeździe do placu budowy dla sprzętu budowalnego i samochodów ciężarowych niezbędnych do wykonania robót?</w:t>
      </w:r>
    </w:p>
    <w:p w:rsidR="009265EC" w:rsidRPr="001D0B3B" w:rsidRDefault="009265EC" w:rsidP="009265EC">
      <w:pPr>
        <w:pStyle w:val="Akapitzlist"/>
        <w:ind w:left="284" w:hanging="426"/>
        <w:jc w:val="both"/>
        <w:rPr>
          <w:rFonts w:cstheme="minorHAnsi"/>
        </w:rPr>
      </w:pPr>
    </w:p>
    <w:p w:rsidR="009265EC" w:rsidRPr="001D0B3B" w:rsidRDefault="009265EC" w:rsidP="009265EC">
      <w:pPr>
        <w:pStyle w:val="Akapitzlist"/>
        <w:numPr>
          <w:ilvl w:val="0"/>
          <w:numId w:val="26"/>
        </w:numPr>
        <w:spacing w:after="0" w:line="240" w:lineRule="auto"/>
        <w:ind w:left="0" w:hanging="426"/>
        <w:contextualSpacing w:val="0"/>
        <w:jc w:val="both"/>
        <w:rPr>
          <w:rFonts w:eastAsia="Times New Roman" w:cstheme="minorHAnsi"/>
          <w:b/>
          <w:bCs/>
        </w:rPr>
      </w:pPr>
      <w:r w:rsidRPr="001D0B3B">
        <w:rPr>
          <w:rFonts w:cstheme="minorHAnsi"/>
        </w:rPr>
        <w:t xml:space="preserve">W związku z realizacją zadania w formule zaprojektuj i wybuduj konieczne jest udostępnienie potencjalnym wykonawcom na tym etapie opinii geotechnicznej badań gruntu. Jest to konieczne dla rzetelnego przygotowania oferty. Wprowadzenie wymogu wykonania badań geotechnicznych przez wykonawcę na etapie realizacji jest wadliwe ponieważ wykonawca nie ma możliwości przewidzenia wyników tych badań. </w:t>
      </w:r>
    </w:p>
    <w:p w:rsidR="009265EC" w:rsidRPr="001D0B3B" w:rsidRDefault="009265EC" w:rsidP="009265EC">
      <w:pPr>
        <w:jc w:val="both"/>
        <w:rPr>
          <w:rFonts w:cstheme="minorHAnsi"/>
        </w:rPr>
      </w:pPr>
      <w:r w:rsidRPr="001D0B3B">
        <w:rPr>
          <w:rFonts w:cstheme="minorHAnsi"/>
        </w:rPr>
        <w:t>Jeśli Zamawiający nie chce udostępnić opinii geotechnicznej na tym etapie musi przyjąć ewentualne odwodnienie w ramach robót dodatkowych.</w:t>
      </w:r>
    </w:p>
    <w:p w:rsidR="009265EC" w:rsidRPr="001D0B3B" w:rsidRDefault="009265EC" w:rsidP="009265EC">
      <w:pPr>
        <w:jc w:val="both"/>
        <w:rPr>
          <w:rFonts w:cstheme="minorHAnsi"/>
        </w:rPr>
      </w:pPr>
      <w:r w:rsidRPr="001D0B3B">
        <w:rPr>
          <w:rFonts w:cstheme="minorHAnsi"/>
        </w:rPr>
        <w:t>W związku z powyższym wnosimy o udostępnienie opinii geotechnicznej badań gruntu lub zagwarantowanie zlecenia i rozliczenia wykonania niezbędnego odwodnienia w ramach robót dodatkowych, jeśli wg wyników badań będzie to konieczne.</w:t>
      </w:r>
    </w:p>
    <w:p w:rsidR="001D0B3B" w:rsidRPr="008F0150" w:rsidRDefault="001D0B3B" w:rsidP="001D0B3B">
      <w:pPr>
        <w:shd w:val="clear" w:color="auto" w:fill="A8D08D" w:themeFill="accent6" w:themeFillTint="99"/>
        <w:spacing w:after="0" w:line="276" w:lineRule="auto"/>
        <w:rPr>
          <w:rFonts w:cstheme="minorHAnsi"/>
          <w:b/>
        </w:rPr>
      </w:pPr>
      <w:r w:rsidRPr="008F0150">
        <w:rPr>
          <w:rFonts w:cstheme="minorHAnsi"/>
          <w:b/>
        </w:rPr>
        <w:t>Odpowiedź</w:t>
      </w:r>
    </w:p>
    <w:p w:rsidR="009265EC" w:rsidRDefault="009265EC" w:rsidP="009265EC">
      <w:pPr>
        <w:pStyle w:val="Akapitzlist"/>
        <w:ind w:left="284" w:hanging="426"/>
        <w:jc w:val="both"/>
        <w:rPr>
          <w:rFonts w:ascii="Verdana" w:hAnsi="Verdana"/>
          <w:color w:val="0070C0"/>
          <w:sz w:val="16"/>
          <w:szCs w:val="16"/>
        </w:rPr>
      </w:pPr>
    </w:p>
    <w:p w:rsidR="001D0B3B" w:rsidRDefault="001D0B3B" w:rsidP="009265EC">
      <w:pPr>
        <w:pStyle w:val="Akapitzlist"/>
        <w:ind w:left="284" w:hanging="426"/>
        <w:jc w:val="both"/>
        <w:rPr>
          <w:rFonts w:cstheme="minorHAnsi"/>
        </w:rPr>
      </w:pPr>
      <w:r>
        <w:rPr>
          <w:rFonts w:cstheme="minorHAnsi"/>
        </w:rPr>
        <w:t>Ad. 1 Zamawiający dokonuje zmiany SWZ w zakresie</w:t>
      </w:r>
      <w:r w:rsidR="007B7CFD">
        <w:rPr>
          <w:rFonts w:cstheme="minorHAnsi"/>
        </w:rPr>
        <w:t xml:space="preserve"> wymagań dla</w:t>
      </w:r>
      <w:r w:rsidRPr="009265EC">
        <w:rPr>
          <w:rFonts w:cstheme="minorHAnsi"/>
        </w:rPr>
        <w:t xml:space="preserve"> nawierzchni PU</w:t>
      </w:r>
      <w:r w:rsidR="007B7CFD">
        <w:rPr>
          <w:rFonts w:cstheme="minorHAnsi"/>
        </w:rPr>
        <w:t xml:space="preserve"> i określa, że nawierzchnia musi spełniać </w:t>
      </w:r>
      <w:r>
        <w:rPr>
          <w:rFonts w:cstheme="minorHAnsi"/>
        </w:rPr>
        <w:t>minimaln</w:t>
      </w:r>
      <w:r w:rsidR="007B7CFD">
        <w:rPr>
          <w:rFonts w:cstheme="minorHAnsi"/>
        </w:rPr>
        <w:t>e</w:t>
      </w:r>
      <w:r>
        <w:rPr>
          <w:rFonts w:cstheme="minorHAnsi"/>
        </w:rPr>
        <w:t xml:space="preserve"> paramet</w:t>
      </w:r>
      <w:r w:rsidR="007B7CFD">
        <w:rPr>
          <w:rFonts w:cstheme="minorHAnsi"/>
        </w:rPr>
        <w:t>ry wskazane</w:t>
      </w:r>
      <w:r>
        <w:rPr>
          <w:rFonts w:cstheme="minorHAnsi"/>
        </w:rPr>
        <w:t xml:space="preserve"> w  normie </w:t>
      </w:r>
      <w:r w:rsidRPr="009265EC">
        <w:rPr>
          <w:rFonts w:cstheme="minorHAnsi"/>
        </w:rPr>
        <w:t>PN-EN 14877:2014-02</w:t>
      </w:r>
      <w:r>
        <w:rPr>
          <w:rFonts w:cstheme="minorHAnsi"/>
        </w:rPr>
        <w:t xml:space="preserve"> tj.:</w:t>
      </w:r>
    </w:p>
    <w:p w:rsidR="001D0B3B" w:rsidRPr="001D0B3B" w:rsidRDefault="001D0B3B" w:rsidP="009265EC">
      <w:pPr>
        <w:pStyle w:val="Akapitzlist"/>
        <w:ind w:left="284" w:hanging="426"/>
        <w:jc w:val="both"/>
        <w:rPr>
          <w:rFonts w:cstheme="minorHAnsi"/>
        </w:rPr>
      </w:pPr>
    </w:p>
    <w:tbl>
      <w:tblPr>
        <w:tblW w:w="0" w:type="auto"/>
        <w:tblInd w:w="-10" w:type="dxa"/>
        <w:tblCellMar>
          <w:left w:w="0" w:type="dxa"/>
          <w:right w:w="0" w:type="dxa"/>
        </w:tblCellMar>
        <w:tblLook w:val="04A0" w:firstRow="1" w:lastRow="0" w:firstColumn="1" w:lastColumn="0" w:noHBand="0" w:noVBand="1"/>
      </w:tblPr>
      <w:tblGrid>
        <w:gridCol w:w="5837"/>
        <w:gridCol w:w="3030"/>
      </w:tblGrid>
      <w:tr w:rsidR="001D0B3B" w:rsidRPr="009265EC" w:rsidTr="007B7CFD">
        <w:tc>
          <w:tcPr>
            <w:tcW w:w="5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0B3B" w:rsidRPr="001D0B3B" w:rsidRDefault="001D0B3B" w:rsidP="007B7CFD">
            <w:pPr>
              <w:ind w:left="709" w:hanging="638"/>
              <w:jc w:val="both"/>
              <w:rPr>
                <w:rFonts w:eastAsia="Calibri" w:cstheme="minorHAnsi"/>
                <w:b/>
                <w:i/>
                <w:iCs/>
              </w:rPr>
            </w:pPr>
            <w:r w:rsidRPr="001D0B3B">
              <w:rPr>
                <w:rFonts w:cstheme="minorHAnsi"/>
                <w:b/>
              </w:rPr>
              <w:tab/>
            </w:r>
            <w:r w:rsidRPr="001D0B3B">
              <w:rPr>
                <w:rFonts w:eastAsia="Calibri" w:cstheme="minorHAnsi"/>
                <w:b/>
                <w:i/>
                <w:iCs/>
              </w:rPr>
              <w:t>parametr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0B3B" w:rsidRPr="001D0B3B" w:rsidRDefault="001D0B3B" w:rsidP="001D0B3B">
            <w:pPr>
              <w:ind w:left="709" w:hanging="666"/>
              <w:jc w:val="center"/>
              <w:rPr>
                <w:rFonts w:eastAsia="Calibri" w:cstheme="minorHAnsi"/>
                <w:b/>
                <w:i/>
                <w:iCs/>
              </w:rPr>
            </w:pPr>
            <w:r w:rsidRPr="001D0B3B">
              <w:rPr>
                <w:rFonts w:eastAsia="Calibri" w:cstheme="minorHAnsi"/>
                <w:b/>
                <w:i/>
                <w:iCs/>
              </w:rPr>
              <w:t>wartość wymagana wg normy</w:t>
            </w:r>
          </w:p>
          <w:p w:rsidR="001D0B3B" w:rsidRPr="001D0B3B" w:rsidRDefault="001D0B3B" w:rsidP="001D0B3B">
            <w:pPr>
              <w:ind w:left="709" w:hanging="666"/>
              <w:jc w:val="center"/>
              <w:rPr>
                <w:rFonts w:eastAsia="Calibri" w:cstheme="minorHAnsi"/>
                <w:b/>
                <w:i/>
                <w:iCs/>
              </w:rPr>
            </w:pPr>
            <w:r w:rsidRPr="001D0B3B">
              <w:rPr>
                <w:rFonts w:eastAsia="Calibri" w:cstheme="minorHAnsi"/>
                <w:b/>
                <w:i/>
                <w:iCs/>
              </w:rPr>
              <w:t>PN-EN 14877:2014-02</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 xml:space="preserve">Wytrzymałość na rozciąganie, </w:t>
            </w:r>
            <w:proofErr w:type="spellStart"/>
            <w:r w:rsidRPr="009265EC">
              <w:rPr>
                <w:rFonts w:eastAsia="Calibri" w:cstheme="minorHAnsi"/>
              </w:rPr>
              <w:t>MPa</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t>≥ 0,4</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Wydłużenie podczas zerwania,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t>≥ 40</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Opór poślizgu, PTV:</w:t>
            </w:r>
          </w:p>
          <w:p w:rsidR="001D0B3B" w:rsidRPr="009265EC" w:rsidRDefault="001D0B3B" w:rsidP="007B7CFD">
            <w:pPr>
              <w:ind w:left="709" w:hanging="638"/>
              <w:jc w:val="both"/>
              <w:rPr>
                <w:rFonts w:eastAsia="Calibri" w:cstheme="minorHAnsi"/>
              </w:rPr>
            </w:pPr>
            <w:r w:rsidRPr="009265EC">
              <w:rPr>
                <w:rFonts w:eastAsia="Calibri" w:cstheme="minorHAnsi"/>
              </w:rPr>
              <w:lastRenderedPageBreak/>
              <w:t>- na sucho</w:t>
            </w:r>
          </w:p>
          <w:p w:rsidR="001D0B3B" w:rsidRPr="009265EC" w:rsidRDefault="001D0B3B" w:rsidP="007B7CFD">
            <w:pPr>
              <w:ind w:left="709" w:hanging="638"/>
              <w:jc w:val="both"/>
              <w:rPr>
                <w:rFonts w:eastAsia="Calibri" w:cstheme="minorHAnsi"/>
              </w:rPr>
            </w:pPr>
            <w:r w:rsidRPr="009265EC">
              <w:rPr>
                <w:rFonts w:eastAsia="Calibri" w:cstheme="minorHAnsi"/>
              </w:rPr>
              <w:t>- na mokro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lastRenderedPageBreak/>
              <w:t> </w:t>
            </w:r>
          </w:p>
          <w:p w:rsidR="001D0B3B" w:rsidRPr="009265EC" w:rsidRDefault="001D0B3B" w:rsidP="007B7CFD">
            <w:pPr>
              <w:ind w:left="709" w:hanging="666"/>
              <w:jc w:val="both"/>
              <w:rPr>
                <w:rFonts w:eastAsia="Calibri" w:cstheme="minorHAnsi"/>
              </w:rPr>
            </w:pPr>
            <w:r w:rsidRPr="009265EC">
              <w:rPr>
                <w:rFonts w:eastAsia="Calibri" w:cstheme="minorHAnsi"/>
              </w:rPr>
              <w:lastRenderedPageBreak/>
              <w:t>80÷110</w:t>
            </w:r>
          </w:p>
          <w:p w:rsidR="001D0B3B" w:rsidRPr="009265EC" w:rsidRDefault="001D0B3B" w:rsidP="007B7CFD">
            <w:pPr>
              <w:ind w:left="709" w:hanging="666"/>
              <w:jc w:val="both"/>
              <w:rPr>
                <w:rFonts w:eastAsia="Calibri" w:cstheme="minorHAnsi"/>
              </w:rPr>
            </w:pPr>
            <w:r w:rsidRPr="009265EC">
              <w:rPr>
                <w:rFonts w:eastAsia="Calibri" w:cstheme="minorHAnsi"/>
              </w:rPr>
              <w:t>55÷110</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lastRenderedPageBreak/>
              <w:t>(dotyczy tylko nawierzchni przepuszczalnej dla wody)</w:t>
            </w:r>
          </w:p>
          <w:p w:rsidR="001D0B3B" w:rsidRPr="009265EC" w:rsidRDefault="001D0B3B" w:rsidP="007B7CFD">
            <w:pPr>
              <w:ind w:left="709" w:hanging="638"/>
              <w:jc w:val="both"/>
              <w:rPr>
                <w:rFonts w:eastAsia="Calibri" w:cstheme="minorHAnsi"/>
              </w:rPr>
            </w:pPr>
            <w:r w:rsidRPr="009265EC">
              <w:rPr>
                <w:rFonts w:eastAsia="Calibri" w:cstheme="minorHAnsi"/>
              </w:rPr>
              <w:t xml:space="preserve">Przepuszczalność wody, mm/h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D0B3B" w:rsidRPr="009265EC" w:rsidRDefault="001D0B3B" w:rsidP="007B7CFD">
            <w:pPr>
              <w:ind w:left="709" w:hanging="666"/>
              <w:jc w:val="both"/>
              <w:rPr>
                <w:rFonts w:eastAsia="Calibri" w:cstheme="minorHAnsi"/>
              </w:rPr>
            </w:pPr>
          </w:p>
          <w:p w:rsidR="001D0B3B" w:rsidRPr="009265EC" w:rsidRDefault="001D0B3B" w:rsidP="007B7CFD">
            <w:pPr>
              <w:ind w:left="709" w:hanging="666"/>
              <w:jc w:val="both"/>
              <w:rPr>
                <w:rFonts w:eastAsia="Calibri" w:cstheme="minorHAnsi"/>
              </w:rPr>
            </w:pPr>
            <w:r w:rsidRPr="009265EC">
              <w:rPr>
                <w:rFonts w:eastAsia="Calibri" w:cstheme="minorHAnsi"/>
              </w:rPr>
              <w:t>≥ 150</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 xml:space="preserve">Odporność na zużycie (ścieranie aparatem </w:t>
            </w:r>
            <w:proofErr w:type="spellStart"/>
            <w:r w:rsidRPr="009265EC">
              <w:rPr>
                <w:rFonts w:eastAsia="Calibri" w:cstheme="minorHAnsi"/>
              </w:rPr>
              <w:t>Tabera</w:t>
            </w:r>
            <w:proofErr w:type="spellEnd"/>
            <w:r w:rsidRPr="009265EC">
              <w:rPr>
                <w:rFonts w:eastAsia="Calibri" w:cstheme="minorHAnsi"/>
              </w:rPr>
              <w:t>), 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t>≤ 4</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(dotyczy tylko nawierzchni lekkoatletycznej)</w:t>
            </w:r>
          </w:p>
          <w:p w:rsidR="001D0B3B" w:rsidRPr="009265EC" w:rsidRDefault="001D0B3B" w:rsidP="007B7CFD">
            <w:pPr>
              <w:ind w:left="709" w:hanging="638"/>
              <w:jc w:val="both"/>
              <w:rPr>
                <w:rFonts w:eastAsia="Calibri" w:cstheme="minorHAnsi"/>
              </w:rPr>
            </w:pPr>
            <w:r w:rsidRPr="009265EC">
              <w:rPr>
                <w:rFonts w:eastAsia="Calibri" w:cstheme="minorHAnsi"/>
              </w:rPr>
              <w:t>Odporność na kolce:</w:t>
            </w:r>
          </w:p>
          <w:p w:rsidR="001D0B3B" w:rsidRPr="009265EC" w:rsidRDefault="001D0B3B" w:rsidP="007B7CFD">
            <w:pPr>
              <w:ind w:left="709" w:hanging="638"/>
              <w:jc w:val="both"/>
              <w:rPr>
                <w:rFonts w:eastAsia="Calibri" w:cstheme="minorHAnsi"/>
              </w:rPr>
            </w:pPr>
            <w:r w:rsidRPr="009265EC">
              <w:rPr>
                <w:rFonts w:eastAsia="Calibri" w:cstheme="minorHAnsi"/>
              </w:rPr>
              <w:t>- spadek wytrzymałości na rozciąganie, %</w:t>
            </w:r>
          </w:p>
          <w:p w:rsidR="001D0B3B" w:rsidRPr="009265EC" w:rsidRDefault="001D0B3B" w:rsidP="007B7CFD">
            <w:pPr>
              <w:ind w:left="709" w:hanging="638"/>
              <w:jc w:val="both"/>
              <w:rPr>
                <w:rFonts w:eastAsia="Calibri" w:cstheme="minorHAnsi"/>
              </w:rPr>
            </w:pPr>
            <w:r w:rsidRPr="009265EC">
              <w:rPr>
                <w:rFonts w:eastAsia="Calibri" w:cstheme="minorHAnsi"/>
              </w:rPr>
              <w:t xml:space="preserve">- spadek wydłużenia względnego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D0B3B" w:rsidRPr="009265EC" w:rsidRDefault="001D0B3B" w:rsidP="007B7CFD">
            <w:pPr>
              <w:ind w:left="709" w:hanging="666"/>
              <w:jc w:val="both"/>
              <w:rPr>
                <w:rFonts w:eastAsia="Calibri" w:cstheme="minorHAnsi"/>
              </w:rPr>
            </w:pPr>
          </w:p>
          <w:p w:rsidR="001D0B3B" w:rsidRPr="009265EC" w:rsidRDefault="001D0B3B" w:rsidP="007B7CFD">
            <w:pPr>
              <w:ind w:left="709" w:hanging="666"/>
              <w:jc w:val="both"/>
              <w:rPr>
                <w:rFonts w:eastAsia="Calibri" w:cstheme="minorHAnsi"/>
              </w:rPr>
            </w:pPr>
          </w:p>
          <w:p w:rsidR="001D0B3B" w:rsidRPr="009265EC" w:rsidRDefault="001D0B3B" w:rsidP="007B7CFD">
            <w:pPr>
              <w:ind w:left="709" w:hanging="666"/>
              <w:jc w:val="both"/>
              <w:rPr>
                <w:rFonts w:eastAsia="Calibri" w:cstheme="minorHAnsi"/>
              </w:rPr>
            </w:pPr>
            <w:r w:rsidRPr="009265EC">
              <w:rPr>
                <w:rFonts w:eastAsia="Calibri" w:cstheme="minorHAnsi"/>
              </w:rPr>
              <w:t>≤ 20</w:t>
            </w:r>
          </w:p>
          <w:p w:rsidR="001D0B3B" w:rsidRPr="009265EC" w:rsidRDefault="001D0B3B" w:rsidP="007B7CFD">
            <w:pPr>
              <w:ind w:left="709" w:hanging="666"/>
              <w:jc w:val="both"/>
              <w:rPr>
                <w:rFonts w:eastAsia="Calibri" w:cstheme="minorHAnsi"/>
              </w:rPr>
            </w:pPr>
            <w:r w:rsidRPr="009265EC">
              <w:rPr>
                <w:rFonts w:eastAsia="Calibri" w:cstheme="minorHAnsi"/>
              </w:rPr>
              <w:t>≤ 20</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Odporność po przyśpieszonym starzeniu:</w:t>
            </w:r>
          </w:p>
          <w:p w:rsidR="001D0B3B" w:rsidRPr="009265EC" w:rsidRDefault="001D0B3B" w:rsidP="007B7CFD">
            <w:pPr>
              <w:ind w:left="709" w:hanging="638"/>
              <w:jc w:val="both"/>
              <w:rPr>
                <w:rFonts w:eastAsia="Calibri" w:cstheme="minorHAnsi"/>
              </w:rPr>
            </w:pPr>
            <w:r w:rsidRPr="009265EC">
              <w:rPr>
                <w:rFonts w:eastAsia="Calibri" w:cstheme="minorHAnsi"/>
              </w:rPr>
              <w:t>- wytrzymałość na rozciąganie, N/mm²</w:t>
            </w:r>
          </w:p>
          <w:p w:rsidR="001D0B3B" w:rsidRPr="009265EC" w:rsidRDefault="001D0B3B" w:rsidP="007B7CFD">
            <w:pPr>
              <w:ind w:left="709" w:hanging="638"/>
              <w:jc w:val="both"/>
              <w:rPr>
                <w:rFonts w:eastAsia="Calibri" w:cstheme="minorHAnsi"/>
              </w:rPr>
            </w:pPr>
            <w:r w:rsidRPr="009265EC">
              <w:rPr>
                <w:rFonts w:eastAsia="Calibri" w:cstheme="minorHAnsi"/>
              </w:rPr>
              <w:t xml:space="preserve">- wydłużenie względne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rPr>
              <w:t>, %</w:t>
            </w:r>
          </w:p>
          <w:p w:rsidR="001D0B3B" w:rsidRPr="009265EC" w:rsidRDefault="001D0B3B" w:rsidP="007B7CFD">
            <w:pPr>
              <w:ind w:left="709" w:hanging="638"/>
              <w:jc w:val="both"/>
              <w:rPr>
                <w:rFonts w:eastAsia="Calibri" w:cstheme="minorHAnsi"/>
              </w:rPr>
            </w:pPr>
            <w:r w:rsidRPr="009265EC">
              <w:rPr>
                <w:rFonts w:eastAsia="Calibri" w:cstheme="minorHAnsi"/>
              </w:rPr>
              <w:t>- amortyzacja, %</w:t>
            </w:r>
          </w:p>
          <w:p w:rsidR="001D0B3B" w:rsidRPr="009265EC" w:rsidRDefault="001D0B3B" w:rsidP="007B7CFD">
            <w:pPr>
              <w:ind w:left="709" w:hanging="496"/>
              <w:jc w:val="both"/>
              <w:rPr>
                <w:rFonts w:eastAsia="Calibri" w:cstheme="minorHAnsi"/>
              </w:rPr>
            </w:pPr>
            <w:r w:rsidRPr="009265EC">
              <w:rPr>
                <w:rFonts w:eastAsia="Calibri" w:cstheme="minorHAnsi"/>
              </w:rPr>
              <w:t>- nawierzchnia na obiekty lekkoatletyczne</w:t>
            </w:r>
          </w:p>
          <w:p w:rsidR="001D0B3B" w:rsidRPr="009265EC" w:rsidRDefault="001D0B3B" w:rsidP="007B7CFD">
            <w:pPr>
              <w:ind w:left="709" w:hanging="496"/>
              <w:jc w:val="both"/>
              <w:rPr>
                <w:rFonts w:eastAsia="Calibri" w:cstheme="minorHAnsi"/>
              </w:rPr>
            </w:pPr>
            <w:r w:rsidRPr="009265EC">
              <w:rPr>
                <w:rFonts w:eastAsia="Calibri" w:cstheme="minorHAnsi"/>
              </w:rPr>
              <w:t>- nawierzchnia na obiekty tenisowe</w:t>
            </w:r>
          </w:p>
          <w:p w:rsidR="001D0B3B" w:rsidRPr="009265EC" w:rsidRDefault="001D0B3B" w:rsidP="007B7CFD">
            <w:pPr>
              <w:ind w:left="709" w:hanging="496"/>
              <w:jc w:val="both"/>
              <w:rPr>
                <w:rFonts w:eastAsia="Calibri" w:cstheme="minorHAnsi"/>
              </w:rPr>
            </w:pPr>
            <w:r w:rsidRPr="009265EC">
              <w:rPr>
                <w:rFonts w:eastAsia="Calibri" w:cstheme="minorHAnsi"/>
              </w:rPr>
              <w:t xml:space="preserve">- nawierzchnia na obiekty typu </w:t>
            </w:r>
            <w:proofErr w:type="spellStart"/>
            <w:r w:rsidRPr="009265EC">
              <w:rPr>
                <w:rFonts w:eastAsia="Calibri" w:cstheme="minorHAnsi"/>
              </w:rPr>
              <w:t>multisport</w:t>
            </w:r>
            <w:proofErr w:type="spellEnd"/>
          </w:p>
          <w:p w:rsidR="001D0B3B" w:rsidRPr="009265EC" w:rsidRDefault="001D0B3B" w:rsidP="007B7CFD">
            <w:pPr>
              <w:ind w:left="709" w:hanging="638"/>
              <w:jc w:val="both"/>
              <w:rPr>
                <w:rFonts w:eastAsia="Calibri" w:cstheme="minorHAnsi"/>
              </w:rPr>
            </w:pPr>
            <w:r w:rsidRPr="009265EC">
              <w:rPr>
                <w:rFonts w:eastAsia="Calibri" w:cstheme="minorHAnsi"/>
              </w:rPr>
              <w:t>- odporność na kolce:</w:t>
            </w:r>
          </w:p>
          <w:p w:rsidR="001D0B3B" w:rsidRPr="009265EC" w:rsidRDefault="001D0B3B" w:rsidP="007B7CFD">
            <w:pPr>
              <w:ind w:left="709" w:hanging="496"/>
              <w:jc w:val="both"/>
              <w:rPr>
                <w:rFonts w:eastAsia="Calibri" w:cstheme="minorHAnsi"/>
              </w:rPr>
            </w:pPr>
            <w:r w:rsidRPr="009265EC">
              <w:rPr>
                <w:rFonts w:eastAsia="Calibri" w:cstheme="minorHAnsi"/>
              </w:rPr>
              <w:t xml:space="preserve">- wytrzymałość na rozciąganie po użyciu kolców, </w:t>
            </w:r>
            <w:proofErr w:type="spellStart"/>
            <w:r w:rsidRPr="009265EC">
              <w:rPr>
                <w:rFonts w:eastAsia="Calibri" w:cstheme="minorHAnsi"/>
              </w:rPr>
              <w:t>MPa</w:t>
            </w:r>
            <w:proofErr w:type="spellEnd"/>
          </w:p>
          <w:p w:rsidR="001D0B3B" w:rsidRPr="009265EC" w:rsidRDefault="001D0B3B" w:rsidP="007B7CFD">
            <w:pPr>
              <w:ind w:left="709" w:hanging="496"/>
              <w:jc w:val="both"/>
              <w:rPr>
                <w:rFonts w:eastAsia="Calibri" w:cstheme="minorHAnsi"/>
              </w:rPr>
            </w:pPr>
            <w:r w:rsidRPr="009265EC">
              <w:rPr>
                <w:rFonts w:eastAsia="Calibri" w:cstheme="minorHAnsi"/>
              </w:rPr>
              <w:t>- spadek wytrzymałości po działaniu kolców, %</w:t>
            </w:r>
          </w:p>
          <w:p w:rsidR="001D0B3B" w:rsidRPr="009265EC" w:rsidRDefault="001D0B3B" w:rsidP="007B7CFD">
            <w:pPr>
              <w:ind w:left="709" w:hanging="496"/>
              <w:jc w:val="both"/>
              <w:rPr>
                <w:rFonts w:eastAsia="Calibri" w:cstheme="minorHAnsi"/>
              </w:rPr>
            </w:pPr>
            <w:r w:rsidRPr="009265EC">
              <w:rPr>
                <w:rFonts w:eastAsia="Calibri" w:cstheme="minorHAnsi"/>
              </w:rPr>
              <w:t xml:space="preserve">- wydłużenie względne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vertAlign w:val="subscript"/>
              </w:rPr>
              <w:t xml:space="preserve"> </w:t>
            </w:r>
            <w:r w:rsidRPr="009265EC">
              <w:rPr>
                <w:rFonts w:eastAsia="Calibri" w:cstheme="minorHAnsi"/>
              </w:rPr>
              <w:t>po działaniu kolców, %</w:t>
            </w:r>
          </w:p>
          <w:p w:rsidR="001D0B3B" w:rsidRPr="009265EC" w:rsidRDefault="001D0B3B" w:rsidP="007B7CFD">
            <w:pPr>
              <w:ind w:left="709" w:hanging="496"/>
              <w:jc w:val="both"/>
              <w:rPr>
                <w:rFonts w:eastAsia="Calibri" w:cstheme="minorHAnsi"/>
              </w:rPr>
            </w:pPr>
            <w:r w:rsidRPr="009265EC">
              <w:rPr>
                <w:rFonts w:eastAsia="Calibri" w:cstheme="minorHAnsi"/>
              </w:rPr>
              <w:t xml:space="preserve">- spadek wydłużenia względnego przy </w:t>
            </w:r>
            <w:proofErr w:type="spellStart"/>
            <w:r w:rsidRPr="009265EC">
              <w:rPr>
                <w:rFonts w:eastAsia="Calibri" w:cstheme="minorHAnsi"/>
              </w:rPr>
              <w:t>F</w:t>
            </w:r>
            <w:r w:rsidRPr="009265EC">
              <w:rPr>
                <w:rFonts w:eastAsia="Calibri" w:cstheme="minorHAnsi"/>
                <w:vertAlign w:val="subscript"/>
              </w:rPr>
              <w:t>max</w:t>
            </w:r>
            <w:proofErr w:type="spellEnd"/>
            <w:r w:rsidRPr="009265EC">
              <w:rPr>
                <w:rFonts w:eastAsia="Calibri" w:cstheme="minorHAnsi"/>
                <w:vertAlign w:val="subscript"/>
              </w:rPr>
              <w:t xml:space="preserve"> </w:t>
            </w:r>
            <w:r w:rsidRPr="009265EC">
              <w:rPr>
                <w:rFonts w:eastAsia="Calibri" w:cstheme="minorHAnsi"/>
              </w:rPr>
              <w:t>po działaniu kolców,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t> </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 0,4</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 40</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 </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35÷50 typ SA35÷50</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&gt;31 typ SA 31+</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35÷44 typ SA35÷44</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 </w:t>
            </w:r>
          </w:p>
          <w:p w:rsidR="001D0B3B" w:rsidRPr="009265EC" w:rsidRDefault="001D0B3B" w:rsidP="007B7CFD">
            <w:pPr>
              <w:ind w:left="709" w:hanging="666"/>
              <w:jc w:val="both"/>
              <w:rPr>
                <w:rFonts w:eastAsia="Calibri" w:cstheme="minorHAnsi"/>
              </w:rPr>
            </w:pPr>
            <w:r w:rsidRPr="009265EC">
              <w:rPr>
                <w:rFonts w:eastAsia="Calibri" w:cstheme="minorHAnsi"/>
              </w:rPr>
              <w:t>≥ 0,4</w:t>
            </w:r>
          </w:p>
          <w:p w:rsidR="001D0B3B" w:rsidRPr="009265EC" w:rsidRDefault="001D0B3B" w:rsidP="007B7CFD">
            <w:pPr>
              <w:ind w:left="709" w:hanging="666"/>
              <w:jc w:val="both"/>
              <w:rPr>
                <w:rFonts w:eastAsia="Calibri" w:cstheme="minorHAnsi"/>
              </w:rPr>
            </w:pPr>
            <w:r w:rsidRPr="009265EC">
              <w:rPr>
                <w:rFonts w:eastAsia="Calibri" w:cstheme="minorHAnsi"/>
              </w:rPr>
              <w:t>≤ 20</w:t>
            </w:r>
          </w:p>
          <w:p w:rsidR="001D0B3B" w:rsidRPr="009265EC" w:rsidRDefault="001D0B3B" w:rsidP="007B7CFD">
            <w:pPr>
              <w:ind w:left="709" w:hanging="666"/>
              <w:jc w:val="both"/>
              <w:rPr>
                <w:rFonts w:eastAsia="Calibri" w:cstheme="minorHAnsi"/>
              </w:rPr>
            </w:pPr>
            <w:r w:rsidRPr="009265EC">
              <w:rPr>
                <w:rFonts w:eastAsia="Calibri" w:cstheme="minorHAnsi"/>
              </w:rPr>
              <w:t>≥ 40</w:t>
            </w:r>
          </w:p>
          <w:p w:rsidR="001D0B3B" w:rsidRPr="009265EC" w:rsidRDefault="001D0B3B" w:rsidP="007B7CFD">
            <w:pPr>
              <w:ind w:left="709" w:hanging="666"/>
              <w:jc w:val="both"/>
              <w:rPr>
                <w:rFonts w:eastAsia="Calibri" w:cstheme="minorHAnsi"/>
              </w:rPr>
            </w:pPr>
            <w:r w:rsidRPr="009265EC">
              <w:rPr>
                <w:rFonts w:eastAsia="Calibri" w:cstheme="minorHAnsi"/>
              </w:rPr>
              <w:t>≤ 20</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Odporność po sztucznym starzeniu:</w:t>
            </w:r>
          </w:p>
          <w:p w:rsidR="001D0B3B" w:rsidRPr="009265EC" w:rsidRDefault="001D0B3B" w:rsidP="007B7CFD">
            <w:pPr>
              <w:ind w:left="709" w:hanging="638"/>
              <w:jc w:val="both"/>
              <w:rPr>
                <w:rFonts w:eastAsia="Calibri" w:cstheme="minorHAnsi"/>
              </w:rPr>
            </w:pPr>
            <w:r w:rsidRPr="009265EC">
              <w:rPr>
                <w:rFonts w:eastAsia="Calibri" w:cstheme="minorHAnsi"/>
              </w:rPr>
              <w:t xml:space="preserve">- odporność na zużycie (ścieranie </w:t>
            </w:r>
            <w:proofErr w:type="spellStart"/>
            <w:r w:rsidRPr="009265EC">
              <w:rPr>
                <w:rFonts w:eastAsia="Calibri" w:cstheme="minorHAnsi"/>
              </w:rPr>
              <w:t>Tabera</w:t>
            </w:r>
            <w:proofErr w:type="spellEnd"/>
            <w:r w:rsidRPr="009265EC">
              <w:rPr>
                <w:rFonts w:eastAsia="Calibri" w:cstheme="minorHAnsi"/>
              </w:rPr>
              <w:t>), g</w:t>
            </w:r>
          </w:p>
          <w:p w:rsidR="001D0B3B" w:rsidRPr="009265EC" w:rsidRDefault="001D0B3B" w:rsidP="007B7CFD">
            <w:pPr>
              <w:ind w:left="709" w:hanging="638"/>
              <w:jc w:val="both"/>
              <w:rPr>
                <w:rFonts w:eastAsia="Calibri" w:cstheme="minorHAnsi"/>
              </w:rPr>
            </w:pPr>
            <w:r w:rsidRPr="009265EC">
              <w:rPr>
                <w:rFonts w:eastAsia="Calibri" w:cstheme="minorHAnsi"/>
              </w:rPr>
              <w:t>- zmiana barwy, stopień skali szarej</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t> </w:t>
            </w:r>
          </w:p>
          <w:p w:rsidR="001D0B3B" w:rsidRPr="009265EC" w:rsidRDefault="001D0B3B" w:rsidP="007B7CFD">
            <w:pPr>
              <w:ind w:left="709" w:hanging="666"/>
              <w:jc w:val="both"/>
              <w:rPr>
                <w:rFonts w:eastAsia="Calibri" w:cstheme="minorHAnsi"/>
              </w:rPr>
            </w:pPr>
            <w:r w:rsidRPr="009265EC">
              <w:rPr>
                <w:rFonts w:eastAsia="Calibri" w:cstheme="minorHAnsi"/>
              </w:rPr>
              <w:t>≤ 4</w:t>
            </w:r>
          </w:p>
          <w:p w:rsidR="001D0B3B" w:rsidRPr="009265EC" w:rsidRDefault="001D0B3B" w:rsidP="007B7CFD">
            <w:pPr>
              <w:ind w:left="709" w:hanging="666"/>
              <w:jc w:val="both"/>
              <w:rPr>
                <w:rFonts w:eastAsia="Calibri" w:cstheme="minorHAnsi"/>
              </w:rPr>
            </w:pPr>
            <w:r w:rsidRPr="009265EC">
              <w:rPr>
                <w:rFonts w:eastAsia="Calibri" w:cstheme="minorHAnsi"/>
              </w:rPr>
              <w:t>≥ 3</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Amortyzacja, %:</w:t>
            </w:r>
          </w:p>
          <w:p w:rsidR="001D0B3B" w:rsidRPr="009265EC" w:rsidRDefault="001D0B3B" w:rsidP="007B7CFD">
            <w:pPr>
              <w:ind w:left="709" w:hanging="638"/>
              <w:jc w:val="both"/>
              <w:rPr>
                <w:rFonts w:eastAsia="Calibri" w:cstheme="minorHAnsi"/>
              </w:rPr>
            </w:pPr>
            <w:r w:rsidRPr="009265EC">
              <w:rPr>
                <w:rFonts w:eastAsia="Calibri" w:cstheme="minorHAnsi"/>
              </w:rPr>
              <w:t>- nawierzchnia na obiekty lekkoatletyczne</w:t>
            </w:r>
          </w:p>
          <w:p w:rsidR="001D0B3B" w:rsidRPr="009265EC" w:rsidRDefault="001D0B3B" w:rsidP="007B7CFD">
            <w:pPr>
              <w:ind w:left="709" w:hanging="638"/>
              <w:jc w:val="both"/>
              <w:rPr>
                <w:rFonts w:eastAsia="Calibri" w:cstheme="minorHAnsi"/>
              </w:rPr>
            </w:pPr>
            <w:r w:rsidRPr="009265EC">
              <w:rPr>
                <w:rFonts w:eastAsia="Calibri" w:cstheme="minorHAnsi"/>
              </w:rPr>
              <w:t>- nawierzchnia na obiekty tenisowe</w:t>
            </w:r>
          </w:p>
          <w:p w:rsidR="001D0B3B" w:rsidRPr="009265EC" w:rsidRDefault="001D0B3B" w:rsidP="007B7CFD">
            <w:pPr>
              <w:ind w:left="709" w:hanging="638"/>
              <w:jc w:val="both"/>
              <w:rPr>
                <w:rFonts w:eastAsia="Calibri" w:cstheme="minorHAnsi"/>
              </w:rPr>
            </w:pPr>
            <w:r w:rsidRPr="009265EC">
              <w:rPr>
                <w:rFonts w:eastAsia="Calibri" w:cstheme="minorHAnsi"/>
              </w:rPr>
              <w:t xml:space="preserve">- nawierzchnia na obiekty typu </w:t>
            </w:r>
            <w:proofErr w:type="spellStart"/>
            <w:r w:rsidRPr="009265EC">
              <w:rPr>
                <w:rFonts w:eastAsia="Calibri" w:cstheme="minorHAnsi"/>
              </w:rPr>
              <w:t>multisport</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t> </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35÷50 typ SA35÷50</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&gt;31 typ SA 31+</w:t>
            </w:r>
          </w:p>
          <w:p w:rsidR="001D0B3B" w:rsidRPr="009265EC" w:rsidRDefault="001D0B3B" w:rsidP="007B7CFD">
            <w:pPr>
              <w:ind w:left="709" w:hanging="666"/>
              <w:jc w:val="both"/>
              <w:rPr>
                <w:rFonts w:eastAsia="Calibri" w:cstheme="minorHAnsi"/>
                <w:lang w:val="fr-FR"/>
              </w:rPr>
            </w:pPr>
            <w:r w:rsidRPr="009265EC">
              <w:rPr>
                <w:rFonts w:eastAsia="Calibri" w:cstheme="minorHAnsi"/>
                <w:lang w:val="fr-FR"/>
              </w:rPr>
              <w:t>35÷44 typ SA35÷44</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t>Odkształcenie pionowe, mm:</w:t>
            </w:r>
          </w:p>
          <w:p w:rsidR="001D0B3B" w:rsidRPr="009265EC" w:rsidRDefault="001D0B3B" w:rsidP="007B7CFD">
            <w:pPr>
              <w:ind w:left="709" w:hanging="638"/>
              <w:jc w:val="both"/>
              <w:rPr>
                <w:rFonts w:eastAsia="Calibri" w:cstheme="minorHAnsi"/>
              </w:rPr>
            </w:pPr>
            <w:r w:rsidRPr="009265EC">
              <w:rPr>
                <w:rFonts w:eastAsia="Calibri" w:cstheme="minorHAnsi"/>
              </w:rPr>
              <w:t>- nawierzchnia na obiekty lekkoatletyczne</w:t>
            </w:r>
          </w:p>
          <w:p w:rsidR="001D0B3B" w:rsidRPr="009265EC" w:rsidRDefault="001D0B3B" w:rsidP="007B7CFD">
            <w:pPr>
              <w:ind w:left="709" w:hanging="638"/>
              <w:jc w:val="both"/>
              <w:rPr>
                <w:rFonts w:eastAsia="Calibri" w:cstheme="minorHAnsi"/>
              </w:rPr>
            </w:pPr>
            <w:r w:rsidRPr="009265EC">
              <w:rPr>
                <w:rFonts w:eastAsia="Calibri" w:cstheme="minorHAnsi"/>
              </w:rPr>
              <w:lastRenderedPageBreak/>
              <w:t>- nawierzchnia na obiekty tenisowe</w:t>
            </w:r>
          </w:p>
          <w:p w:rsidR="001D0B3B" w:rsidRPr="009265EC" w:rsidRDefault="001D0B3B" w:rsidP="007B7CFD">
            <w:pPr>
              <w:ind w:left="709" w:hanging="638"/>
              <w:jc w:val="both"/>
              <w:rPr>
                <w:rFonts w:eastAsia="Calibri" w:cstheme="minorHAnsi"/>
              </w:rPr>
            </w:pPr>
            <w:r w:rsidRPr="009265EC">
              <w:rPr>
                <w:rFonts w:eastAsia="Calibri" w:cstheme="minorHAnsi"/>
              </w:rPr>
              <w:t xml:space="preserve">- nawierzchnia na obiekty typu </w:t>
            </w:r>
            <w:proofErr w:type="spellStart"/>
            <w:r w:rsidRPr="009265EC">
              <w:rPr>
                <w:rFonts w:eastAsia="Calibri" w:cstheme="minorHAnsi"/>
              </w:rPr>
              <w:t>multisport</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lastRenderedPageBreak/>
              <w:t> </w:t>
            </w:r>
          </w:p>
          <w:p w:rsidR="001D0B3B" w:rsidRPr="009265EC" w:rsidRDefault="001D0B3B" w:rsidP="007B7CFD">
            <w:pPr>
              <w:ind w:left="709" w:hanging="666"/>
              <w:jc w:val="both"/>
              <w:rPr>
                <w:rFonts w:eastAsia="Calibri" w:cstheme="minorHAnsi"/>
              </w:rPr>
            </w:pPr>
            <w:r w:rsidRPr="009265EC">
              <w:rPr>
                <w:rFonts w:eastAsia="Calibri" w:cstheme="minorHAnsi"/>
              </w:rPr>
              <w:t>≤ 3</w:t>
            </w:r>
          </w:p>
          <w:p w:rsidR="001D0B3B" w:rsidRPr="009265EC" w:rsidRDefault="001D0B3B" w:rsidP="007B7CFD">
            <w:pPr>
              <w:ind w:left="709" w:hanging="666"/>
              <w:jc w:val="both"/>
              <w:rPr>
                <w:rFonts w:eastAsia="Calibri" w:cstheme="minorHAnsi"/>
              </w:rPr>
            </w:pPr>
            <w:r w:rsidRPr="009265EC">
              <w:rPr>
                <w:rFonts w:eastAsia="Calibri" w:cstheme="minorHAnsi"/>
              </w:rPr>
              <w:lastRenderedPageBreak/>
              <w:t>≤ 3</w:t>
            </w:r>
          </w:p>
          <w:p w:rsidR="001D0B3B" w:rsidRPr="009265EC" w:rsidRDefault="001D0B3B" w:rsidP="007B7CFD">
            <w:pPr>
              <w:ind w:left="709" w:hanging="666"/>
              <w:jc w:val="both"/>
              <w:rPr>
                <w:rFonts w:eastAsia="Calibri" w:cstheme="minorHAnsi"/>
              </w:rPr>
            </w:pPr>
            <w:r w:rsidRPr="009265EC">
              <w:rPr>
                <w:rFonts w:eastAsia="Calibri" w:cstheme="minorHAnsi"/>
              </w:rPr>
              <w:t>≤ 6</w:t>
            </w:r>
          </w:p>
        </w:tc>
      </w:tr>
      <w:tr w:rsidR="001D0B3B" w:rsidRPr="009265EC" w:rsidTr="007B7CFD">
        <w:tc>
          <w:tcPr>
            <w:tcW w:w="5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38"/>
              <w:jc w:val="both"/>
              <w:rPr>
                <w:rFonts w:eastAsia="Calibri" w:cstheme="minorHAnsi"/>
              </w:rPr>
            </w:pPr>
            <w:r w:rsidRPr="009265EC">
              <w:rPr>
                <w:rFonts w:eastAsia="Calibri" w:cstheme="minorHAnsi"/>
              </w:rPr>
              <w:lastRenderedPageBreak/>
              <w:t>Zachowanie się piłki odbitej pionowo:</w:t>
            </w:r>
          </w:p>
          <w:p w:rsidR="001D0B3B" w:rsidRPr="009265EC" w:rsidRDefault="001D0B3B" w:rsidP="007B7CFD">
            <w:pPr>
              <w:ind w:left="709" w:hanging="638"/>
              <w:jc w:val="both"/>
              <w:rPr>
                <w:rFonts w:eastAsia="Calibri" w:cstheme="minorHAnsi"/>
              </w:rPr>
            </w:pPr>
            <w:r w:rsidRPr="009265EC">
              <w:rPr>
                <w:rFonts w:eastAsia="Calibri" w:cstheme="minorHAnsi"/>
              </w:rPr>
              <w:t xml:space="preserve">- piłka koszykowa, %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0B3B" w:rsidRPr="009265EC" w:rsidRDefault="001D0B3B" w:rsidP="007B7CFD">
            <w:pPr>
              <w:ind w:left="709" w:hanging="666"/>
              <w:jc w:val="both"/>
              <w:rPr>
                <w:rFonts w:eastAsia="Calibri" w:cstheme="minorHAnsi"/>
              </w:rPr>
            </w:pPr>
            <w:r w:rsidRPr="009265EC">
              <w:rPr>
                <w:rFonts w:eastAsia="Calibri" w:cstheme="minorHAnsi"/>
              </w:rPr>
              <w:t> </w:t>
            </w:r>
          </w:p>
          <w:p w:rsidR="001D0B3B" w:rsidRPr="009265EC" w:rsidRDefault="001D0B3B" w:rsidP="007B7CFD">
            <w:pPr>
              <w:ind w:left="709" w:hanging="666"/>
              <w:jc w:val="both"/>
              <w:rPr>
                <w:rFonts w:eastAsia="Calibri" w:cstheme="minorHAnsi"/>
              </w:rPr>
            </w:pPr>
            <w:r w:rsidRPr="009265EC">
              <w:rPr>
                <w:rFonts w:eastAsia="Calibri" w:cstheme="minorHAnsi"/>
              </w:rPr>
              <w:t>≥ 85</w:t>
            </w:r>
          </w:p>
        </w:tc>
      </w:tr>
    </w:tbl>
    <w:p w:rsidR="009265EC" w:rsidRDefault="009265EC" w:rsidP="009265EC">
      <w:pPr>
        <w:spacing w:after="0" w:line="276" w:lineRule="auto"/>
        <w:jc w:val="both"/>
        <w:rPr>
          <w:rFonts w:eastAsia="Times New Roman" w:cstheme="minorHAnsi"/>
          <w:lang w:eastAsia="pl-PL"/>
        </w:rPr>
      </w:pPr>
    </w:p>
    <w:p w:rsidR="001D0B3B" w:rsidRDefault="001D0B3B" w:rsidP="00AE4431">
      <w:pPr>
        <w:spacing w:line="276" w:lineRule="auto"/>
        <w:jc w:val="both"/>
        <w:rPr>
          <w:rFonts w:eastAsia="Times New Roman" w:cstheme="minorHAnsi"/>
          <w:lang w:eastAsia="pl-PL"/>
        </w:rPr>
      </w:pPr>
      <w:r w:rsidRPr="00AE4431">
        <w:rPr>
          <w:rFonts w:eastAsia="Times New Roman" w:cstheme="minorHAnsi"/>
          <w:b/>
          <w:lang w:eastAsia="pl-PL"/>
        </w:rPr>
        <w:t>Ad. 2</w:t>
      </w:r>
      <w:r>
        <w:rPr>
          <w:rFonts w:eastAsia="Times New Roman" w:cstheme="minorHAnsi"/>
          <w:lang w:eastAsia="pl-PL"/>
        </w:rPr>
        <w:t xml:space="preserve"> Zamawiający </w:t>
      </w:r>
      <w:r w:rsidR="007B7CFD">
        <w:rPr>
          <w:rFonts w:eastAsia="Times New Roman" w:cstheme="minorHAnsi"/>
          <w:lang w:eastAsia="pl-PL"/>
        </w:rPr>
        <w:t xml:space="preserve">informuje, że </w:t>
      </w:r>
      <w:r>
        <w:rPr>
          <w:rFonts w:eastAsia="Times New Roman" w:cstheme="minorHAnsi"/>
          <w:lang w:eastAsia="pl-PL"/>
        </w:rPr>
        <w:t xml:space="preserve">zamierza przeznaczyć na sfinansowanie zamówienia kwotę </w:t>
      </w:r>
      <w:r w:rsidR="007B7CFD">
        <w:rPr>
          <w:rFonts w:eastAsia="Times New Roman" w:cstheme="minorHAnsi"/>
          <w:lang w:eastAsia="pl-PL"/>
        </w:rPr>
        <w:t xml:space="preserve">                                  </w:t>
      </w:r>
      <w:r w:rsidRPr="001D0B3B">
        <w:rPr>
          <w:rFonts w:eastAsia="Times New Roman" w:cstheme="minorHAnsi"/>
          <w:lang w:eastAsia="pl-PL"/>
        </w:rPr>
        <w:t>2 500 000,00 brutto</w:t>
      </w:r>
      <w:r>
        <w:rPr>
          <w:rFonts w:eastAsia="Times New Roman" w:cstheme="minorHAnsi"/>
          <w:lang w:eastAsia="pl-PL"/>
        </w:rPr>
        <w:t>.</w:t>
      </w:r>
    </w:p>
    <w:p w:rsidR="009D1951" w:rsidRDefault="001D0B3B" w:rsidP="00AE4431">
      <w:pPr>
        <w:spacing w:line="276" w:lineRule="auto"/>
        <w:jc w:val="both"/>
      </w:pPr>
      <w:r w:rsidRPr="00AE4431">
        <w:rPr>
          <w:rFonts w:eastAsia="Times New Roman" w:cstheme="minorHAnsi"/>
          <w:b/>
          <w:lang w:eastAsia="pl-PL"/>
        </w:rPr>
        <w:t>Ad. 3</w:t>
      </w:r>
      <w:r>
        <w:rPr>
          <w:rFonts w:eastAsia="Times New Roman" w:cstheme="minorHAnsi"/>
          <w:lang w:eastAsia="pl-PL"/>
        </w:rPr>
        <w:t xml:space="preserve"> </w:t>
      </w:r>
      <w:r w:rsidR="009D1951">
        <w:t>Zamawiający informuje, że</w:t>
      </w:r>
      <w:r w:rsidR="00AE4431">
        <w:t xml:space="preserve"> zadanie jest dofinansowane z Programu Rządowego Fundusz Polski Ład, </w:t>
      </w:r>
      <w:r w:rsidR="009D1951">
        <w:t>zgodnie z wnioskiem o dofinansowanie oraz warunkami promesy inwestycja została zakwalifikowana</w:t>
      </w:r>
      <w:r w:rsidR="00AE4431">
        <w:t> </w:t>
      </w:r>
      <w:r w:rsidR="009D1951">
        <w:t>jako</w:t>
      </w:r>
      <w:r w:rsidR="00AE4431">
        <w:t> </w:t>
      </w:r>
      <w:r w:rsidR="009D1951">
        <w:t>realizowana</w:t>
      </w:r>
      <w:r w:rsidR="00AE4431">
        <w:t> </w:t>
      </w:r>
      <w:r w:rsidR="009D1951">
        <w:t>w</w:t>
      </w:r>
      <w:r w:rsidR="00AE4431">
        <w:t> okresie </w:t>
      </w:r>
      <w:r w:rsidR="009D1951">
        <w:t>powyżej</w:t>
      </w:r>
      <w:r w:rsidR="00AE4431">
        <w:t> </w:t>
      </w:r>
      <w:r w:rsidR="009D1951">
        <w:t>12</w:t>
      </w:r>
      <w:r w:rsidR="00AE4431">
        <w:t> </w:t>
      </w:r>
      <w:r w:rsidR="009D1951">
        <w:t>miesięcy.</w:t>
      </w:r>
      <w:r w:rsidR="009D1951">
        <w:br/>
        <w:t>W związku z powyższym rozliczenie inwestycji, niezależnie od faktycznego terminu jej wykonania, będzie odbywać się zgodnie z zasadami przewidzianymi dla inwestycji realizowanych w okresie powyżej 12 miesięcy, tj. w systemie </w:t>
      </w:r>
      <w:proofErr w:type="spellStart"/>
      <w:r w:rsidR="009D1951">
        <w:t>transzowym</w:t>
      </w:r>
      <w:proofErr w:type="spellEnd"/>
      <w:r w:rsidR="009D1951">
        <w:t>.</w:t>
      </w:r>
      <w:r w:rsidR="009D1951">
        <w:br/>
        <w:t>Ewentualne wcześniejsze zakończenie robót nie zmienia zasad wypłaty dofinansowania.</w:t>
      </w:r>
    </w:p>
    <w:p w:rsidR="00AE4431" w:rsidRDefault="009D1951" w:rsidP="008F0150">
      <w:pPr>
        <w:spacing w:after="0" w:line="276" w:lineRule="auto"/>
        <w:jc w:val="both"/>
        <w:rPr>
          <w:rFonts w:eastAsia="Times New Roman" w:cstheme="minorHAnsi"/>
          <w:b/>
          <w:lang w:eastAsia="pl-PL"/>
        </w:rPr>
      </w:pPr>
      <w:r w:rsidRPr="00AE4431">
        <w:rPr>
          <w:b/>
        </w:rPr>
        <w:t xml:space="preserve">Ad. 4 </w:t>
      </w:r>
      <w:r w:rsidR="00AE4431" w:rsidRPr="00AE4431">
        <w:rPr>
          <w:rFonts w:eastAsia="Times New Roman" w:cstheme="minorHAnsi"/>
          <w:lang w:eastAsia="pl-PL"/>
        </w:rPr>
        <w:t>Zamawiający</w:t>
      </w:r>
      <w:r w:rsidR="00AE4431">
        <w:rPr>
          <w:rFonts w:eastAsia="Times New Roman" w:cstheme="minorHAnsi"/>
          <w:b/>
          <w:lang w:eastAsia="pl-PL"/>
        </w:rPr>
        <w:t xml:space="preserve"> nie wyraża zgody na </w:t>
      </w:r>
      <w:r w:rsidR="00AE4431">
        <w:rPr>
          <w:rFonts w:cstheme="minorHAnsi"/>
        </w:rPr>
        <w:t>zawarcie</w:t>
      </w:r>
      <w:r w:rsidR="00AE4431" w:rsidRPr="001D0B3B">
        <w:rPr>
          <w:rFonts w:cstheme="minorHAnsi"/>
        </w:rPr>
        <w:t xml:space="preserve"> umowy przelewu wierzytelności z podwykonawcą lub dostawcą w celu zapłaty jego wynagrodzenia bezpośrednio przez Zamawiającego</w:t>
      </w:r>
      <w:r w:rsidR="00F67EC4" w:rsidRPr="00AE4431">
        <w:rPr>
          <w:rFonts w:eastAsia="Times New Roman" w:cstheme="minorHAnsi"/>
          <w:b/>
          <w:lang w:eastAsia="pl-PL"/>
        </w:rPr>
        <w:tab/>
      </w:r>
      <w:r w:rsidR="00F67EC4" w:rsidRPr="00AE4431">
        <w:rPr>
          <w:rFonts w:eastAsia="Times New Roman" w:cstheme="minorHAnsi"/>
          <w:b/>
          <w:lang w:eastAsia="pl-PL"/>
        </w:rPr>
        <w:tab/>
      </w:r>
    </w:p>
    <w:p w:rsidR="00AE4431" w:rsidRDefault="00AE4431" w:rsidP="008F0150">
      <w:pPr>
        <w:spacing w:after="0" w:line="276" w:lineRule="auto"/>
        <w:jc w:val="both"/>
        <w:rPr>
          <w:rFonts w:eastAsia="Times New Roman" w:cstheme="minorHAnsi"/>
          <w:b/>
          <w:lang w:eastAsia="pl-PL"/>
        </w:rPr>
      </w:pPr>
    </w:p>
    <w:p w:rsidR="00AE4431" w:rsidRDefault="00AE4431" w:rsidP="008F0150">
      <w:pPr>
        <w:spacing w:after="0" w:line="276" w:lineRule="auto"/>
        <w:jc w:val="both"/>
        <w:rPr>
          <w:rFonts w:eastAsia="Times New Roman" w:cstheme="minorHAnsi"/>
          <w:lang w:eastAsia="pl-PL"/>
        </w:rPr>
      </w:pPr>
      <w:r>
        <w:rPr>
          <w:rFonts w:eastAsia="Times New Roman" w:cstheme="minorHAnsi"/>
          <w:b/>
          <w:lang w:eastAsia="pl-PL"/>
        </w:rPr>
        <w:t xml:space="preserve">Ad. 5 </w:t>
      </w:r>
      <w:r w:rsidRPr="00AE4431">
        <w:rPr>
          <w:rFonts w:eastAsia="Times New Roman" w:cstheme="minorHAnsi"/>
          <w:lang w:eastAsia="pl-PL"/>
        </w:rPr>
        <w:t>Zamawiający</w:t>
      </w:r>
      <w:r>
        <w:rPr>
          <w:rFonts w:eastAsia="Times New Roman" w:cstheme="minorHAnsi"/>
          <w:b/>
          <w:lang w:eastAsia="pl-PL"/>
        </w:rPr>
        <w:t xml:space="preserve"> nie wyraża zgody </w:t>
      </w:r>
      <w:r w:rsidRPr="00AE4431">
        <w:rPr>
          <w:rFonts w:eastAsia="Times New Roman" w:cstheme="minorHAnsi"/>
          <w:lang w:eastAsia="pl-PL"/>
        </w:rPr>
        <w:t>na zawarcie umowy z bankiem</w:t>
      </w:r>
      <w:r>
        <w:rPr>
          <w:rFonts w:eastAsia="Times New Roman" w:cstheme="minorHAnsi"/>
          <w:lang w:eastAsia="pl-PL"/>
        </w:rPr>
        <w:t>.</w:t>
      </w:r>
    </w:p>
    <w:p w:rsidR="00AE4431" w:rsidRDefault="00AE4431" w:rsidP="008F0150">
      <w:pPr>
        <w:spacing w:after="0" w:line="276" w:lineRule="auto"/>
        <w:jc w:val="both"/>
        <w:rPr>
          <w:rFonts w:eastAsia="Times New Roman" w:cstheme="minorHAnsi"/>
          <w:lang w:eastAsia="pl-PL"/>
        </w:rPr>
      </w:pPr>
    </w:p>
    <w:p w:rsidR="00F67EC4" w:rsidRDefault="00AE4431" w:rsidP="008F0150">
      <w:pPr>
        <w:spacing w:after="0" w:line="276" w:lineRule="auto"/>
        <w:jc w:val="both"/>
        <w:rPr>
          <w:rFonts w:eastAsia="Times New Roman" w:cstheme="minorHAnsi"/>
          <w:lang w:eastAsia="pl-PL"/>
        </w:rPr>
      </w:pPr>
      <w:r w:rsidRPr="00AE4431">
        <w:rPr>
          <w:rFonts w:eastAsia="Times New Roman" w:cstheme="minorHAnsi"/>
          <w:b/>
          <w:lang w:eastAsia="pl-PL"/>
        </w:rPr>
        <w:t>Ad. 6</w:t>
      </w:r>
      <w:r>
        <w:rPr>
          <w:rFonts w:eastAsia="Times New Roman" w:cstheme="minorHAnsi"/>
          <w:b/>
          <w:lang w:eastAsia="pl-PL"/>
        </w:rPr>
        <w:t xml:space="preserve"> </w:t>
      </w:r>
      <w:r w:rsidR="00CB3596">
        <w:t>Zamawiający wskazuje, że zamówienie realizowane jest w formule „zaprojektuj i wybuduj”.</w:t>
      </w:r>
      <w:r w:rsidR="00CB3596">
        <w:br/>
        <w:t>W związku z powyższym obowiązek uzyskania wymaganych decyzji administracyjnych, uzgodnień i pozwoleń niezbędnych do realizacji inwestycji spoczywa na Wykonawcy.</w:t>
      </w:r>
    </w:p>
    <w:p w:rsidR="00AE4431" w:rsidRDefault="00AE4431" w:rsidP="008F0150">
      <w:pPr>
        <w:spacing w:after="0" w:line="276" w:lineRule="auto"/>
        <w:jc w:val="both"/>
        <w:rPr>
          <w:rFonts w:eastAsia="Times New Roman" w:cstheme="minorHAnsi"/>
          <w:lang w:eastAsia="pl-PL"/>
        </w:rPr>
      </w:pPr>
    </w:p>
    <w:p w:rsidR="00AE4431" w:rsidRDefault="00AE4431" w:rsidP="008F0150">
      <w:pPr>
        <w:spacing w:after="0" w:line="276" w:lineRule="auto"/>
        <w:jc w:val="both"/>
        <w:rPr>
          <w:rFonts w:eastAsia="Times New Roman" w:cstheme="minorHAnsi"/>
          <w:lang w:eastAsia="pl-PL"/>
        </w:rPr>
      </w:pPr>
      <w:r w:rsidRPr="00AE4431">
        <w:rPr>
          <w:rFonts w:eastAsia="Times New Roman" w:cstheme="minorHAnsi"/>
          <w:b/>
          <w:lang w:eastAsia="pl-PL"/>
        </w:rPr>
        <w:t>Ad. 7</w:t>
      </w:r>
      <w:r>
        <w:rPr>
          <w:rFonts w:eastAsia="Times New Roman" w:cstheme="minorHAnsi"/>
          <w:b/>
          <w:lang w:eastAsia="pl-PL"/>
        </w:rPr>
        <w:t xml:space="preserve"> </w:t>
      </w:r>
      <w:r w:rsidR="009F022F" w:rsidRPr="009F022F">
        <w:rPr>
          <w:rFonts w:eastAsia="Times New Roman" w:cstheme="minorHAnsi"/>
          <w:lang w:eastAsia="pl-PL"/>
        </w:rPr>
        <w:t>Zamawiający informuje, że m</w:t>
      </w:r>
      <w:r w:rsidRPr="009F022F">
        <w:rPr>
          <w:rFonts w:eastAsia="Times New Roman" w:cstheme="minorHAnsi"/>
          <w:lang w:eastAsia="pl-PL"/>
        </w:rPr>
        <w:t>apa</w:t>
      </w:r>
      <w:r w:rsidRPr="00AE4431">
        <w:rPr>
          <w:rFonts w:eastAsia="Times New Roman" w:cstheme="minorHAnsi"/>
          <w:lang w:eastAsia="pl-PL"/>
        </w:rPr>
        <w:t xml:space="preserve"> do celów projektowych została </w:t>
      </w:r>
      <w:r w:rsidR="00CB3596">
        <w:rPr>
          <w:rFonts w:eastAsia="Times New Roman" w:cstheme="minorHAnsi"/>
          <w:lang w:eastAsia="pl-PL"/>
        </w:rPr>
        <w:t>udostępniona jako</w:t>
      </w:r>
      <w:r w:rsidRPr="00AE4431">
        <w:rPr>
          <w:rFonts w:eastAsia="Times New Roman" w:cstheme="minorHAnsi"/>
          <w:lang w:eastAsia="pl-PL"/>
        </w:rPr>
        <w:t xml:space="preserve"> załącz</w:t>
      </w:r>
      <w:r w:rsidR="00CB3596">
        <w:rPr>
          <w:rFonts w:eastAsia="Times New Roman" w:cstheme="minorHAnsi"/>
          <w:lang w:eastAsia="pl-PL"/>
        </w:rPr>
        <w:t>nik do SWZ.</w:t>
      </w:r>
      <w:r>
        <w:rPr>
          <w:rFonts w:eastAsia="Times New Roman" w:cstheme="minorHAnsi"/>
          <w:lang w:eastAsia="pl-PL"/>
        </w:rPr>
        <w:t xml:space="preserve"> Zamawiający nie posiada innej dokumentacji</w:t>
      </w:r>
      <w:r w:rsidR="009A1CBC">
        <w:rPr>
          <w:rFonts w:eastAsia="Times New Roman" w:cstheme="minorHAnsi"/>
          <w:lang w:eastAsia="pl-PL"/>
        </w:rPr>
        <w:t xml:space="preserve"> niż dołączona do postępowania.</w:t>
      </w:r>
    </w:p>
    <w:p w:rsidR="00AE4431" w:rsidRDefault="00AE4431" w:rsidP="008F0150">
      <w:pPr>
        <w:spacing w:after="0" w:line="276" w:lineRule="auto"/>
        <w:jc w:val="both"/>
        <w:rPr>
          <w:rFonts w:eastAsia="Times New Roman" w:cstheme="minorHAnsi"/>
          <w:lang w:eastAsia="pl-PL"/>
        </w:rPr>
      </w:pPr>
    </w:p>
    <w:p w:rsidR="00AE4431" w:rsidRDefault="00AE4431" w:rsidP="008F0150">
      <w:pPr>
        <w:spacing w:after="0" w:line="276" w:lineRule="auto"/>
        <w:jc w:val="both"/>
        <w:rPr>
          <w:rFonts w:eastAsia="Times New Roman" w:cstheme="minorHAnsi"/>
          <w:lang w:eastAsia="pl-PL"/>
        </w:rPr>
      </w:pPr>
      <w:r w:rsidRPr="00AE4431">
        <w:rPr>
          <w:rFonts w:eastAsia="Times New Roman" w:cstheme="minorHAnsi"/>
          <w:b/>
          <w:lang w:eastAsia="pl-PL"/>
        </w:rPr>
        <w:t xml:space="preserve">Ad. 8 </w:t>
      </w:r>
      <w:r w:rsidR="009F022F" w:rsidRPr="009F022F">
        <w:rPr>
          <w:rFonts w:eastAsia="Times New Roman" w:cstheme="minorHAnsi"/>
          <w:lang w:eastAsia="pl-PL"/>
        </w:rPr>
        <w:t>Zamawi</w:t>
      </w:r>
      <w:r w:rsidR="009F022F">
        <w:rPr>
          <w:rFonts w:eastAsia="Times New Roman" w:cstheme="minorHAnsi"/>
          <w:lang w:eastAsia="pl-PL"/>
        </w:rPr>
        <w:t>a</w:t>
      </w:r>
      <w:r w:rsidR="009F022F" w:rsidRPr="009F022F">
        <w:rPr>
          <w:rFonts w:eastAsia="Times New Roman" w:cstheme="minorHAnsi"/>
          <w:lang w:eastAsia="pl-PL"/>
        </w:rPr>
        <w:t>jący informuje, że n</w:t>
      </w:r>
      <w:r w:rsidRPr="009F022F">
        <w:rPr>
          <w:rFonts w:eastAsia="Times New Roman" w:cstheme="minorHAnsi"/>
          <w:lang w:eastAsia="pl-PL"/>
        </w:rPr>
        <w:t>ie</w:t>
      </w:r>
      <w:r w:rsidRPr="00AE4431">
        <w:rPr>
          <w:rFonts w:eastAsia="Times New Roman" w:cstheme="minorHAnsi"/>
          <w:lang w:eastAsia="pl-PL"/>
        </w:rPr>
        <w:t xml:space="preserve"> występują ograniczenia w dojeździe na plac budowy</w:t>
      </w:r>
      <w:r w:rsidR="009F022F">
        <w:rPr>
          <w:rFonts w:eastAsia="Times New Roman" w:cstheme="minorHAnsi"/>
          <w:lang w:eastAsia="pl-PL"/>
        </w:rPr>
        <w:t>.</w:t>
      </w:r>
    </w:p>
    <w:p w:rsidR="009F022F" w:rsidRDefault="009F022F" w:rsidP="008F0150">
      <w:pPr>
        <w:spacing w:after="0" w:line="276" w:lineRule="auto"/>
        <w:jc w:val="both"/>
        <w:rPr>
          <w:rFonts w:eastAsia="Times New Roman" w:cstheme="minorHAnsi"/>
          <w:lang w:eastAsia="pl-PL"/>
        </w:rPr>
      </w:pPr>
    </w:p>
    <w:p w:rsidR="009F022F" w:rsidRPr="009F022F" w:rsidRDefault="009F022F" w:rsidP="008F0150">
      <w:pPr>
        <w:spacing w:after="0" w:line="276" w:lineRule="auto"/>
        <w:jc w:val="both"/>
        <w:rPr>
          <w:rFonts w:eastAsia="Times New Roman" w:cstheme="minorHAnsi"/>
          <w:b/>
          <w:lang w:eastAsia="pl-PL"/>
        </w:rPr>
      </w:pPr>
      <w:r w:rsidRPr="009F022F">
        <w:rPr>
          <w:rFonts w:eastAsia="Times New Roman" w:cstheme="minorHAnsi"/>
          <w:b/>
          <w:lang w:eastAsia="pl-PL"/>
        </w:rPr>
        <w:t>Ad. 9</w:t>
      </w:r>
      <w:r>
        <w:rPr>
          <w:rFonts w:eastAsia="Times New Roman" w:cstheme="minorHAnsi"/>
          <w:b/>
          <w:lang w:eastAsia="pl-PL"/>
        </w:rPr>
        <w:t xml:space="preserve"> </w:t>
      </w:r>
      <w:r w:rsidRPr="009F022F">
        <w:rPr>
          <w:rFonts w:eastAsia="Times New Roman" w:cstheme="minorHAnsi"/>
          <w:lang w:eastAsia="pl-PL"/>
        </w:rPr>
        <w:t>Zamawiający informuje, że opinia geotechniczna dla planowanej inwestycji została udostępniona jako załącznik nr</w:t>
      </w:r>
      <w:r>
        <w:rPr>
          <w:rFonts w:eastAsia="Times New Roman" w:cstheme="minorHAnsi"/>
          <w:b/>
          <w:lang w:eastAsia="pl-PL"/>
        </w:rPr>
        <w:t xml:space="preserve"> </w:t>
      </w:r>
      <w:r w:rsidRPr="009F022F">
        <w:rPr>
          <w:rFonts w:eastAsia="Times New Roman" w:cstheme="minorHAnsi"/>
          <w:lang w:eastAsia="pl-PL"/>
        </w:rPr>
        <w:t>9 do SWZ.</w:t>
      </w:r>
    </w:p>
    <w:p w:rsidR="009F022F" w:rsidRDefault="009F022F" w:rsidP="008F0150">
      <w:pPr>
        <w:spacing w:after="0" w:line="276" w:lineRule="auto"/>
        <w:jc w:val="both"/>
        <w:rPr>
          <w:rFonts w:eastAsia="Times New Roman" w:cstheme="minorHAnsi"/>
          <w:b/>
          <w:lang w:eastAsia="pl-PL"/>
        </w:rPr>
      </w:pPr>
    </w:p>
    <w:p w:rsidR="009F022F" w:rsidRPr="00C35401" w:rsidRDefault="009F022F" w:rsidP="009F022F">
      <w:pPr>
        <w:shd w:val="clear" w:color="auto" w:fill="B4C6E7" w:themeFill="accent5" w:themeFillTint="66"/>
        <w:spacing w:after="0" w:line="276" w:lineRule="auto"/>
        <w:rPr>
          <w:rFonts w:cstheme="minorHAnsi"/>
          <w:b/>
        </w:rPr>
      </w:pPr>
      <w:r>
        <w:rPr>
          <w:rFonts w:cstheme="minorHAnsi"/>
          <w:b/>
        </w:rPr>
        <w:t>Pytanie 5</w:t>
      </w:r>
    </w:p>
    <w:p w:rsidR="009F022F" w:rsidRDefault="009F022F" w:rsidP="009A1CBC">
      <w:pPr>
        <w:pStyle w:val="Akapitzlist"/>
        <w:numPr>
          <w:ilvl w:val="0"/>
          <w:numId w:val="28"/>
        </w:numPr>
        <w:spacing w:after="0" w:line="276" w:lineRule="auto"/>
        <w:ind w:left="0" w:firstLine="0"/>
        <w:jc w:val="both"/>
      </w:pPr>
      <w:r>
        <w:t>Proszę o potwierdzenie, że Zamawiający udostępnił całą dokumentację projektową, techniczną niezbędną do wykonania przedmiotu zamówienia oraz, że dokumentacja ta jest kompletna                                       i odzwierciedla stan faktyczny w zakresie warunków realizacji zamówienia, zaś brak jakichkolwiek dokumentów istotnych dla oceny warunków realizacji inwestycji nie obciąża Wykonawcy.</w:t>
      </w:r>
      <w:r>
        <w:br/>
        <w:t>2. Proszę o potwierdzenie, że Zamawiający dysponuje wszelkimi wymaganymi prawem decyzjami administracyjnymi oraz uzgodnieniami niezbędnymi w celu wykonania zamówienia, które zachowują ważność na okres zgodny z wymaganym terminem realizacji, a skutki ewentualnych braków w tym zakresie nie obciążają Wykonawcy.</w:t>
      </w:r>
      <w:r>
        <w:br/>
        <w:t>3. Czy występują ograniczenia w dojeździe do placu budowy dla sprzętu budowalnego i samochodów ciężarowych niezbędnych do wykonania robót?</w:t>
      </w:r>
      <w:r>
        <w:br/>
      </w:r>
      <w:r>
        <w:lastRenderedPageBreak/>
        <w:t>4. Czy Zamawiający dysponuje aktualnymi zdjęciami istniejącego terenu oraz elementów do rozbiórki?</w:t>
      </w:r>
      <w:r>
        <w:br/>
        <w:t>5. Czy utylizacja materiałów z rozbiórki leży po stronie Wykonawcy, czy należy je przetransportować               w miejsce wskazane przez Zamawiającego?</w:t>
      </w:r>
      <w:r>
        <w:br/>
        <w:t>6. Jaką kwotę Zamawiający zamierza przeznaczyć na przedmiotowe zadanie?</w:t>
      </w:r>
      <w:r>
        <w:br/>
        <w:t>7. Czy w ramach strefy zamawianych robót występują jakiekolwiek sieci lub inne kolizje? Jeśli występują to wnosimy o udostępnienie stosownej inwentaryzacji z opisem i mapą</w:t>
      </w:r>
      <w:r>
        <w:br/>
        <w:t xml:space="preserve">8. Czy po stronie przyszłego wykonawcy będzie uzyskanie pozwolenia na użytkowanie? </w:t>
      </w:r>
      <w:r>
        <w:br/>
        <w:t>9. Czy Zamawiający posiada uzgodnienia i zgody na przyłącze z dostawcą energii elektrycznej? Jeżeli nie to czy będzie to w obowiązku przyszłego wykonawcy?</w:t>
      </w:r>
    </w:p>
    <w:p w:rsidR="009F022F" w:rsidRDefault="009F022F" w:rsidP="009F022F">
      <w:pPr>
        <w:spacing w:after="0" w:line="276" w:lineRule="auto"/>
        <w:ind w:left="360"/>
        <w:jc w:val="both"/>
      </w:pPr>
    </w:p>
    <w:p w:rsidR="009F022F" w:rsidRPr="008F0150" w:rsidRDefault="009F022F" w:rsidP="009F022F">
      <w:pPr>
        <w:shd w:val="clear" w:color="auto" w:fill="A8D08D" w:themeFill="accent6" w:themeFillTint="99"/>
        <w:spacing w:after="0" w:line="276" w:lineRule="auto"/>
        <w:rPr>
          <w:rFonts w:cstheme="minorHAnsi"/>
          <w:b/>
        </w:rPr>
      </w:pPr>
      <w:r w:rsidRPr="008F0150">
        <w:rPr>
          <w:rFonts w:cstheme="minorHAnsi"/>
          <w:b/>
        </w:rPr>
        <w:t>Odpowiedź</w:t>
      </w:r>
    </w:p>
    <w:p w:rsidR="009F022F" w:rsidRDefault="009F022F" w:rsidP="009A1CBC">
      <w:pPr>
        <w:spacing w:line="276" w:lineRule="auto"/>
        <w:jc w:val="both"/>
        <w:rPr>
          <w:rFonts w:eastAsia="Times New Roman" w:cstheme="minorHAnsi"/>
          <w:lang w:eastAsia="pl-PL"/>
        </w:rPr>
      </w:pPr>
      <w:r>
        <w:rPr>
          <w:rFonts w:eastAsia="Times New Roman" w:cstheme="minorHAnsi"/>
          <w:b/>
          <w:lang w:eastAsia="pl-PL"/>
        </w:rPr>
        <w:t xml:space="preserve">Ad. 1 </w:t>
      </w:r>
      <w:r w:rsidR="00CB3596">
        <w:t xml:space="preserve">Zamawiający wskazuje, że zamówienie realizowane jest w formule „zaprojektuj i wybuduj”, </w:t>
      </w:r>
      <w:r w:rsidR="00C062FD">
        <w:t xml:space="preserve">                      </w:t>
      </w:r>
      <w:r w:rsidR="00CB3596">
        <w:t>w związku z czym obowiązek uzyskania wszelkich decyzji administracyjnych, uzgodnień oraz pozwoleń niezbędnych do realizacji inwestycji spoczywa na Wykonawcy.</w:t>
      </w:r>
    </w:p>
    <w:p w:rsidR="009A1CBC" w:rsidRDefault="009A1CBC" w:rsidP="009A1CBC">
      <w:pPr>
        <w:spacing w:line="276" w:lineRule="auto"/>
        <w:jc w:val="both"/>
        <w:rPr>
          <w:rFonts w:eastAsia="Times New Roman" w:cstheme="minorHAnsi"/>
          <w:lang w:eastAsia="pl-PL"/>
        </w:rPr>
      </w:pPr>
      <w:r w:rsidRPr="009A1CBC">
        <w:rPr>
          <w:rFonts w:eastAsia="Times New Roman" w:cstheme="minorHAnsi"/>
          <w:b/>
          <w:lang w:eastAsia="pl-PL"/>
        </w:rPr>
        <w:t>Ad. 2</w:t>
      </w:r>
      <w:r>
        <w:rPr>
          <w:rFonts w:eastAsia="Times New Roman" w:cstheme="minorHAnsi"/>
          <w:lang w:eastAsia="pl-PL"/>
        </w:rPr>
        <w:t xml:space="preserve"> Zamawiający informuje jak w odpowiedzi Ad. 1</w:t>
      </w:r>
    </w:p>
    <w:p w:rsidR="009A1CBC" w:rsidRDefault="009A1CBC" w:rsidP="009A1CBC">
      <w:pPr>
        <w:spacing w:line="276" w:lineRule="auto"/>
        <w:jc w:val="both"/>
        <w:rPr>
          <w:rFonts w:eastAsia="Times New Roman" w:cstheme="minorHAnsi"/>
          <w:lang w:eastAsia="pl-PL"/>
        </w:rPr>
      </w:pPr>
      <w:r w:rsidRPr="009A1CBC">
        <w:rPr>
          <w:rFonts w:eastAsia="Times New Roman" w:cstheme="minorHAnsi"/>
          <w:b/>
          <w:lang w:eastAsia="pl-PL"/>
        </w:rPr>
        <w:t>Ad. 3</w:t>
      </w:r>
      <w:r>
        <w:rPr>
          <w:rFonts w:eastAsia="Times New Roman" w:cstheme="minorHAnsi"/>
          <w:lang w:eastAsia="pl-PL"/>
        </w:rPr>
        <w:t xml:space="preserve"> </w:t>
      </w:r>
      <w:r w:rsidRPr="009F022F">
        <w:rPr>
          <w:rFonts w:eastAsia="Times New Roman" w:cstheme="minorHAnsi"/>
          <w:lang w:eastAsia="pl-PL"/>
        </w:rPr>
        <w:t>Zamawi</w:t>
      </w:r>
      <w:r>
        <w:rPr>
          <w:rFonts w:eastAsia="Times New Roman" w:cstheme="minorHAnsi"/>
          <w:lang w:eastAsia="pl-PL"/>
        </w:rPr>
        <w:t>a</w:t>
      </w:r>
      <w:r w:rsidRPr="009F022F">
        <w:rPr>
          <w:rFonts w:eastAsia="Times New Roman" w:cstheme="minorHAnsi"/>
          <w:lang w:eastAsia="pl-PL"/>
        </w:rPr>
        <w:t>jący informuje, że nie</w:t>
      </w:r>
      <w:r w:rsidRPr="00AE4431">
        <w:rPr>
          <w:rFonts w:eastAsia="Times New Roman" w:cstheme="minorHAnsi"/>
          <w:lang w:eastAsia="pl-PL"/>
        </w:rPr>
        <w:t xml:space="preserve"> występują ograniczenia w dojeździe na plac budowy</w:t>
      </w:r>
      <w:r>
        <w:rPr>
          <w:rFonts w:eastAsia="Times New Roman" w:cstheme="minorHAnsi"/>
          <w:lang w:eastAsia="pl-PL"/>
        </w:rPr>
        <w:t>.</w:t>
      </w:r>
    </w:p>
    <w:p w:rsidR="009A1CBC" w:rsidRDefault="009A1CBC" w:rsidP="009A1CBC">
      <w:pPr>
        <w:spacing w:line="276" w:lineRule="auto"/>
        <w:jc w:val="both"/>
        <w:rPr>
          <w:rFonts w:eastAsia="Times New Roman" w:cstheme="minorHAnsi"/>
          <w:lang w:eastAsia="pl-PL"/>
        </w:rPr>
      </w:pPr>
      <w:r w:rsidRPr="009A1CBC">
        <w:rPr>
          <w:rFonts w:eastAsia="Times New Roman" w:cstheme="minorHAnsi"/>
          <w:b/>
          <w:lang w:eastAsia="pl-PL"/>
        </w:rPr>
        <w:t>Ad. 4</w:t>
      </w:r>
      <w:r>
        <w:rPr>
          <w:rFonts w:eastAsia="Times New Roman" w:cstheme="minorHAnsi"/>
          <w:lang w:eastAsia="pl-PL"/>
        </w:rPr>
        <w:t xml:space="preserve"> </w:t>
      </w:r>
      <w:r w:rsidR="00CB3596">
        <w:t>Zamawiający nie dysponuje aktualną dokumentacją fotograficzną terenu. Wykonawca ma możliwość dokonania wizji lokalnej zgodnie z zapisami SWZ.</w:t>
      </w:r>
    </w:p>
    <w:p w:rsidR="009A1CBC" w:rsidRDefault="009A1CBC" w:rsidP="009A1CBC">
      <w:pPr>
        <w:spacing w:line="276" w:lineRule="auto"/>
        <w:jc w:val="both"/>
        <w:rPr>
          <w:rFonts w:eastAsia="Times New Roman" w:cstheme="minorHAnsi"/>
          <w:lang w:eastAsia="pl-PL"/>
        </w:rPr>
      </w:pPr>
      <w:r w:rsidRPr="009A1CBC">
        <w:rPr>
          <w:rFonts w:eastAsia="Times New Roman" w:cstheme="minorHAnsi"/>
          <w:b/>
          <w:lang w:eastAsia="pl-PL"/>
        </w:rPr>
        <w:t>Ad. 5</w:t>
      </w:r>
      <w:r>
        <w:rPr>
          <w:rFonts w:eastAsia="Times New Roman" w:cstheme="minorHAnsi"/>
          <w:lang w:eastAsia="pl-PL"/>
        </w:rPr>
        <w:t xml:space="preserve"> </w:t>
      </w:r>
      <w:r w:rsidR="00CB3596">
        <w:t>Zamawiający informuje, że zagospodarowanie i utylizacja odpadów powstałych w trakcie realizacji robót należy do obowiązków Wykonawcy.</w:t>
      </w:r>
    </w:p>
    <w:p w:rsidR="009A1CBC" w:rsidRDefault="009A1CBC" w:rsidP="009A1CBC">
      <w:pPr>
        <w:spacing w:line="276" w:lineRule="auto"/>
        <w:jc w:val="both"/>
        <w:rPr>
          <w:rFonts w:eastAsia="Times New Roman" w:cstheme="minorHAnsi"/>
          <w:lang w:eastAsia="pl-PL"/>
        </w:rPr>
      </w:pPr>
      <w:r w:rsidRPr="009A1CBC">
        <w:rPr>
          <w:rFonts w:eastAsia="Times New Roman" w:cstheme="minorHAnsi"/>
          <w:b/>
          <w:lang w:eastAsia="pl-PL"/>
        </w:rPr>
        <w:t xml:space="preserve">Ad. 6 </w:t>
      </w:r>
      <w:r>
        <w:rPr>
          <w:rFonts w:eastAsia="Times New Roman" w:cstheme="minorHAnsi"/>
          <w:lang w:eastAsia="pl-PL"/>
        </w:rPr>
        <w:t xml:space="preserve">Zamawiający zamierza przeznaczyć na sfinansowanie zamówienia kwotę </w:t>
      </w:r>
      <w:r w:rsidRPr="001D0B3B">
        <w:rPr>
          <w:rFonts w:eastAsia="Times New Roman" w:cstheme="minorHAnsi"/>
          <w:lang w:eastAsia="pl-PL"/>
        </w:rPr>
        <w:t>2 500 000,00 brutto</w:t>
      </w:r>
      <w:r>
        <w:rPr>
          <w:rFonts w:eastAsia="Times New Roman" w:cstheme="minorHAnsi"/>
          <w:lang w:eastAsia="pl-PL"/>
        </w:rPr>
        <w:t>.</w:t>
      </w:r>
    </w:p>
    <w:p w:rsidR="009A1CBC" w:rsidRDefault="009A1CBC" w:rsidP="009A1CBC">
      <w:pPr>
        <w:spacing w:line="276" w:lineRule="auto"/>
        <w:jc w:val="both"/>
        <w:rPr>
          <w:rFonts w:eastAsia="Times New Roman" w:cstheme="minorHAnsi"/>
          <w:lang w:eastAsia="pl-PL"/>
        </w:rPr>
      </w:pPr>
      <w:r w:rsidRPr="009A1CBC">
        <w:rPr>
          <w:rFonts w:eastAsia="Times New Roman" w:cstheme="minorHAnsi"/>
          <w:b/>
          <w:lang w:eastAsia="pl-PL"/>
        </w:rPr>
        <w:t>Ad. 7</w:t>
      </w:r>
      <w:r>
        <w:rPr>
          <w:rFonts w:eastAsia="Times New Roman" w:cstheme="minorHAnsi"/>
          <w:lang w:eastAsia="pl-PL"/>
        </w:rPr>
        <w:t xml:space="preserve"> </w:t>
      </w:r>
      <w:r w:rsidRPr="009F022F">
        <w:rPr>
          <w:rFonts w:eastAsia="Times New Roman" w:cstheme="minorHAnsi"/>
          <w:lang w:eastAsia="pl-PL"/>
        </w:rPr>
        <w:t>Zamawiający informuje, że mapa</w:t>
      </w:r>
      <w:r w:rsidRPr="00AE4431">
        <w:rPr>
          <w:rFonts w:eastAsia="Times New Roman" w:cstheme="minorHAnsi"/>
          <w:lang w:eastAsia="pl-PL"/>
        </w:rPr>
        <w:t xml:space="preserve"> do celów projektowych została załączona do dokumentacji jako załącz</w:t>
      </w:r>
      <w:r>
        <w:rPr>
          <w:rFonts w:eastAsia="Times New Roman" w:cstheme="minorHAnsi"/>
          <w:lang w:eastAsia="pl-PL"/>
        </w:rPr>
        <w:t xml:space="preserve">nik do SWZ, Zamawiający nie posiada innej dokumentacji niż </w:t>
      </w:r>
      <w:r w:rsidR="00CB3596">
        <w:rPr>
          <w:rFonts w:eastAsia="Times New Roman" w:cstheme="minorHAnsi"/>
          <w:lang w:eastAsia="pl-PL"/>
        </w:rPr>
        <w:t>udostępniona</w:t>
      </w:r>
      <w:r>
        <w:rPr>
          <w:rFonts w:eastAsia="Times New Roman" w:cstheme="minorHAnsi"/>
          <w:lang w:eastAsia="pl-PL"/>
        </w:rPr>
        <w:t xml:space="preserve"> </w:t>
      </w:r>
      <w:r w:rsidR="00CB3596">
        <w:rPr>
          <w:rFonts w:eastAsia="Times New Roman" w:cstheme="minorHAnsi"/>
          <w:lang w:eastAsia="pl-PL"/>
        </w:rPr>
        <w:t>w postępowaniu</w:t>
      </w:r>
      <w:r>
        <w:rPr>
          <w:rFonts w:eastAsia="Times New Roman" w:cstheme="minorHAnsi"/>
          <w:lang w:eastAsia="pl-PL"/>
        </w:rPr>
        <w:t>.</w:t>
      </w:r>
    </w:p>
    <w:p w:rsidR="009A1CBC" w:rsidRDefault="009A1CBC" w:rsidP="009A1CBC">
      <w:pPr>
        <w:spacing w:before="240" w:line="276" w:lineRule="auto"/>
        <w:jc w:val="both"/>
        <w:rPr>
          <w:rFonts w:eastAsia="Times New Roman" w:cstheme="minorHAnsi"/>
          <w:lang w:eastAsia="pl-PL"/>
        </w:rPr>
      </w:pPr>
      <w:r w:rsidRPr="009A1CBC">
        <w:rPr>
          <w:rFonts w:eastAsia="Times New Roman" w:cstheme="minorHAnsi"/>
          <w:b/>
          <w:lang w:eastAsia="pl-PL"/>
        </w:rPr>
        <w:t xml:space="preserve">Ad. 8 </w:t>
      </w:r>
      <w:r w:rsidR="00CB3596" w:rsidRPr="00CB3596">
        <w:rPr>
          <w:rFonts w:eastAsia="Times New Roman" w:cstheme="minorHAnsi"/>
          <w:lang w:eastAsia="pl-PL"/>
        </w:rPr>
        <w:t>Zamawiający informuje, że u</w:t>
      </w:r>
      <w:r w:rsidR="00CB3596" w:rsidRPr="00CB3596">
        <w:t>zyskanie</w:t>
      </w:r>
      <w:r w:rsidR="00CB3596">
        <w:t xml:space="preserve"> wszelkich wymaganych decyzji, w tym pozwolenia na użytkowanie (o ile będzie wymagane), należy do obowiązków Wykonawcy.</w:t>
      </w:r>
    </w:p>
    <w:p w:rsidR="009A1CBC" w:rsidRDefault="009A1CBC" w:rsidP="008F0150">
      <w:pPr>
        <w:spacing w:after="0" w:line="276" w:lineRule="auto"/>
        <w:jc w:val="both"/>
        <w:rPr>
          <w:rFonts w:eastAsia="Times New Roman" w:cstheme="minorHAnsi"/>
          <w:lang w:eastAsia="pl-PL"/>
        </w:rPr>
      </w:pPr>
      <w:r w:rsidRPr="009A1CBC">
        <w:rPr>
          <w:rFonts w:eastAsia="Times New Roman" w:cstheme="minorHAnsi"/>
          <w:b/>
          <w:lang w:eastAsia="pl-PL"/>
        </w:rPr>
        <w:t xml:space="preserve">Ad. 9 </w:t>
      </w:r>
      <w:r w:rsidR="00CB3596">
        <w:t>Zamawiający informuje, że w przypadku konieczności uzyskania warunków lub zgód dotyczących przyłącza energetycznego obowiązek ten spoczywa na Wykonawcy.</w:t>
      </w:r>
    </w:p>
    <w:p w:rsidR="009A1CBC" w:rsidRDefault="009A1CBC" w:rsidP="008F0150">
      <w:pPr>
        <w:spacing w:after="0" w:line="276" w:lineRule="auto"/>
        <w:jc w:val="both"/>
        <w:rPr>
          <w:rFonts w:eastAsia="Times New Roman" w:cstheme="minorHAnsi"/>
          <w:lang w:eastAsia="pl-PL"/>
        </w:rPr>
      </w:pPr>
    </w:p>
    <w:p w:rsidR="00C062FD" w:rsidRPr="008F0150" w:rsidRDefault="00C062FD" w:rsidP="00C062FD">
      <w:pPr>
        <w:shd w:val="clear" w:color="auto" w:fill="A8D08D" w:themeFill="accent6" w:themeFillTint="99"/>
        <w:spacing w:after="0" w:line="276" w:lineRule="auto"/>
        <w:jc w:val="center"/>
        <w:rPr>
          <w:rFonts w:cstheme="minorHAnsi"/>
          <w:b/>
        </w:rPr>
      </w:pPr>
      <w:r>
        <w:rPr>
          <w:rFonts w:cstheme="minorHAnsi"/>
          <w:b/>
        </w:rPr>
        <w:t>ZMIANA TREŚCI SWZ</w:t>
      </w:r>
    </w:p>
    <w:p w:rsidR="00C062FD" w:rsidRPr="00D25043" w:rsidRDefault="00C062FD" w:rsidP="00D25043">
      <w:pPr>
        <w:autoSpaceDE w:val="0"/>
        <w:autoSpaceDN w:val="0"/>
        <w:adjustRightInd w:val="0"/>
        <w:spacing w:after="240" w:line="276" w:lineRule="auto"/>
        <w:jc w:val="both"/>
        <w:rPr>
          <w:rFonts w:cstheme="minorHAnsi"/>
          <w:b/>
          <w:bCs/>
          <w:sz w:val="24"/>
          <w:szCs w:val="24"/>
        </w:rPr>
      </w:pPr>
      <w:r w:rsidRPr="00D25043">
        <w:rPr>
          <w:rFonts w:cstheme="minorHAnsi"/>
          <w:sz w:val="24"/>
          <w:szCs w:val="24"/>
        </w:rPr>
        <w:t xml:space="preserve">Działając w oparciu o art. 286 ust. 1, 5 i 7 </w:t>
      </w:r>
      <w:proofErr w:type="spellStart"/>
      <w:r w:rsidRPr="00D25043">
        <w:rPr>
          <w:rFonts w:cstheme="minorHAnsi"/>
          <w:sz w:val="24"/>
          <w:szCs w:val="24"/>
        </w:rPr>
        <w:t>uPzp</w:t>
      </w:r>
      <w:proofErr w:type="spellEnd"/>
      <w:r w:rsidRPr="00D25043">
        <w:rPr>
          <w:rFonts w:cstheme="minorHAnsi"/>
          <w:sz w:val="24"/>
          <w:szCs w:val="24"/>
        </w:rPr>
        <w:t xml:space="preserve">, Zamawiający informuje o następującej zmianie treści SWZ, </w:t>
      </w:r>
      <w:r w:rsidRPr="00D25043">
        <w:rPr>
          <w:rFonts w:cstheme="minorHAnsi"/>
          <w:b/>
          <w:bCs/>
          <w:sz w:val="24"/>
          <w:szCs w:val="24"/>
        </w:rPr>
        <w:t>w tym o przedłużeniu terminu składania ofert:</w:t>
      </w:r>
    </w:p>
    <w:p w:rsidR="00C062FD" w:rsidRPr="00D25043" w:rsidRDefault="00C062FD" w:rsidP="00C062FD">
      <w:pPr>
        <w:pStyle w:val="Akapitzlist"/>
        <w:numPr>
          <w:ilvl w:val="0"/>
          <w:numId w:val="22"/>
        </w:numPr>
        <w:spacing w:after="0" w:line="269" w:lineRule="auto"/>
        <w:jc w:val="both"/>
        <w:rPr>
          <w:b/>
          <w:sz w:val="24"/>
          <w:szCs w:val="24"/>
        </w:rPr>
      </w:pPr>
      <w:r w:rsidRPr="00D25043">
        <w:rPr>
          <w:b/>
          <w:sz w:val="24"/>
          <w:szCs w:val="24"/>
        </w:rPr>
        <w:t>W Rozdziale II Pkt 19. Termin związania ofertą.</w:t>
      </w:r>
    </w:p>
    <w:p w:rsidR="00C062FD" w:rsidRPr="00D25043" w:rsidRDefault="00C062FD" w:rsidP="00C062FD">
      <w:pPr>
        <w:spacing w:after="0" w:line="269" w:lineRule="auto"/>
        <w:jc w:val="both"/>
        <w:rPr>
          <w:b/>
          <w:sz w:val="24"/>
          <w:szCs w:val="24"/>
        </w:rPr>
      </w:pPr>
      <w:proofErr w:type="spellStart"/>
      <w:r w:rsidRPr="00D25043">
        <w:rPr>
          <w:b/>
          <w:sz w:val="24"/>
          <w:szCs w:val="24"/>
        </w:rPr>
        <w:t>Ppkt</w:t>
      </w:r>
      <w:proofErr w:type="spellEnd"/>
      <w:r w:rsidRPr="00D25043">
        <w:rPr>
          <w:b/>
          <w:sz w:val="24"/>
          <w:szCs w:val="24"/>
        </w:rPr>
        <w:t xml:space="preserve"> 2 otrzymuje brzmienie:</w:t>
      </w:r>
    </w:p>
    <w:p w:rsidR="00C062FD" w:rsidRPr="00D25043" w:rsidRDefault="00C062FD" w:rsidP="00C062FD">
      <w:pPr>
        <w:suppressAutoHyphens/>
        <w:autoSpaceDN w:val="0"/>
        <w:spacing w:after="60" w:line="276" w:lineRule="auto"/>
        <w:jc w:val="both"/>
        <w:textAlignment w:val="baseline"/>
        <w:rPr>
          <w:sz w:val="24"/>
          <w:szCs w:val="24"/>
        </w:rPr>
      </w:pPr>
      <w:r w:rsidRPr="00D25043">
        <w:rPr>
          <w:rFonts w:cs="Calibri"/>
          <w:sz w:val="24"/>
          <w:szCs w:val="24"/>
        </w:rPr>
        <w:t xml:space="preserve">Wykonawca pozostaje związany ofertą do dnia </w:t>
      </w:r>
      <w:r w:rsidR="00D25043" w:rsidRPr="00D25043">
        <w:rPr>
          <w:rFonts w:cs="Calibri"/>
          <w:b/>
          <w:sz w:val="24"/>
          <w:szCs w:val="24"/>
          <w:highlight w:val="yellow"/>
        </w:rPr>
        <w:t>08.05</w:t>
      </w:r>
      <w:r w:rsidRPr="00D25043">
        <w:rPr>
          <w:rFonts w:cs="Calibri"/>
          <w:b/>
          <w:sz w:val="24"/>
          <w:szCs w:val="24"/>
          <w:highlight w:val="yellow"/>
          <w:shd w:val="clear" w:color="auto" w:fill="FFFF00"/>
        </w:rPr>
        <w:t>.2026r.</w:t>
      </w:r>
    </w:p>
    <w:p w:rsidR="00C062FD" w:rsidRPr="00D25043" w:rsidRDefault="00C062FD" w:rsidP="00C062FD">
      <w:pPr>
        <w:pStyle w:val="Akapitzlist"/>
        <w:numPr>
          <w:ilvl w:val="0"/>
          <w:numId w:val="22"/>
        </w:numPr>
        <w:suppressAutoHyphens/>
        <w:autoSpaceDN w:val="0"/>
        <w:spacing w:after="60" w:line="276" w:lineRule="auto"/>
        <w:contextualSpacing w:val="0"/>
        <w:jc w:val="both"/>
        <w:textAlignment w:val="baseline"/>
        <w:rPr>
          <w:b/>
          <w:sz w:val="24"/>
          <w:szCs w:val="24"/>
        </w:rPr>
      </w:pPr>
      <w:r w:rsidRPr="00D25043">
        <w:rPr>
          <w:b/>
          <w:sz w:val="24"/>
          <w:szCs w:val="24"/>
        </w:rPr>
        <w:t>Rozdziale II Pkt 21. Opis sposobu przygotowania oferty.</w:t>
      </w:r>
    </w:p>
    <w:p w:rsidR="00D25043" w:rsidRDefault="00D25043" w:rsidP="00C062FD">
      <w:pPr>
        <w:suppressAutoHyphens/>
        <w:autoSpaceDN w:val="0"/>
        <w:spacing w:after="60" w:line="276" w:lineRule="auto"/>
        <w:ind w:left="360" w:hanging="360"/>
        <w:jc w:val="both"/>
        <w:textAlignment w:val="baseline"/>
        <w:rPr>
          <w:b/>
          <w:sz w:val="24"/>
          <w:szCs w:val="24"/>
        </w:rPr>
      </w:pPr>
    </w:p>
    <w:p w:rsidR="00D25043" w:rsidRDefault="00D25043" w:rsidP="00C062FD">
      <w:pPr>
        <w:suppressAutoHyphens/>
        <w:autoSpaceDN w:val="0"/>
        <w:spacing w:after="60" w:line="276" w:lineRule="auto"/>
        <w:ind w:left="360" w:hanging="360"/>
        <w:jc w:val="both"/>
        <w:textAlignment w:val="baseline"/>
        <w:rPr>
          <w:b/>
          <w:sz w:val="24"/>
          <w:szCs w:val="24"/>
        </w:rPr>
      </w:pPr>
    </w:p>
    <w:p w:rsidR="00D25043" w:rsidRDefault="00D25043" w:rsidP="00C062FD">
      <w:pPr>
        <w:suppressAutoHyphens/>
        <w:autoSpaceDN w:val="0"/>
        <w:spacing w:after="60" w:line="276" w:lineRule="auto"/>
        <w:ind w:left="360" w:hanging="360"/>
        <w:jc w:val="both"/>
        <w:textAlignment w:val="baseline"/>
        <w:rPr>
          <w:b/>
          <w:sz w:val="24"/>
          <w:szCs w:val="24"/>
        </w:rPr>
      </w:pPr>
    </w:p>
    <w:p w:rsidR="00C062FD" w:rsidRPr="00D25043" w:rsidRDefault="00C062FD" w:rsidP="00C062FD">
      <w:pPr>
        <w:suppressAutoHyphens/>
        <w:autoSpaceDN w:val="0"/>
        <w:spacing w:after="60" w:line="276" w:lineRule="auto"/>
        <w:ind w:left="360" w:hanging="360"/>
        <w:jc w:val="both"/>
        <w:textAlignment w:val="baseline"/>
        <w:rPr>
          <w:b/>
          <w:sz w:val="24"/>
          <w:szCs w:val="24"/>
        </w:rPr>
      </w:pPr>
      <w:proofErr w:type="spellStart"/>
      <w:r w:rsidRPr="00D25043">
        <w:rPr>
          <w:b/>
          <w:sz w:val="24"/>
          <w:szCs w:val="24"/>
        </w:rPr>
        <w:lastRenderedPageBreak/>
        <w:t>Ppkt</w:t>
      </w:r>
      <w:proofErr w:type="spellEnd"/>
      <w:r w:rsidRPr="00D25043">
        <w:rPr>
          <w:b/>
          <w:sz w:val="24"/>
          <w:szCs w:val="24"/>
        </w:rPr>
        <w:t xml:space="preserve"> 1 otrzymuje brzmienie:</w:t>
      </w:r>
    </w:p>
    <w:p w:rsidR="00C062FD" w:rsidRPr="00D25043" w:rsidRDefault="00C062FD" w:rsidP="00C062FD">
      <w:pPr>
        <w:suppressAutoHyphens/>
        <w:autoSpaceDN w:val="0"/>
        <w:spacing w:after="0" w:line="276" w:lineRule="auto"/>
        <w:jc w:val="both"/>
        <w:textAlignment w:val="baseline"/>
        <w:rPr>
          <w:sz w:val="24"/>
          <w:szCs w:val="24"/>
        </w:rPr>
      </w:pPr>
      <w:r w:rsidRPr="00D25043">
        <w:rPr>
          <w:rFonts w:cs="Calibri"/>
          <w:color w:val="000000"/>
          <w:sz w:val="24"/>
          <w:szCs w:val="24"/>
        </w:rPr>
        <w:t>Ofertę wraz z wymaganymi dokumentami należy umieścić na Platformie Zakupowej pod adresem:</w:t>
      </w:r>
      <w:r w:rsidRPr="00D25043">
        <w:rPr>
          <w:sz w:val="24"/>
          <w:szCs w:val="24"/>
        </w:rPr>
        <w:t xml:space="preserve"> </w:t>
      </w:r>
      <w:hyperlink r:id="rId8" w:history="1">
        <w:r w:rsidR="00D25043" w:rsidRPr="00D25043">
          <w:rPr>
            <w:rStyle w:val="Hipercze"/>
            <w:sz w:val="24"/>
            <w:szCs w:val="24"/>
          </w:rPr>
          <w:t>https://platformazakupowa.pl/transakcja/1276985</w:t>
        </w:r>
      </w:hyperlink>
      <w:r w:rsidR="00D25043" w:rsidRPr="00D25043">
        <w:rPr>
          <w:rStyle w:val="Hipercze"/>
          <w:sz w:val="24"/>
          <w:szCs w:val="24"/>
        </w:rPr>
        <w:t xml:space="preserve"> </w:t>
      </w:r>
      <w:r w:rsidRPr="00D25043">
        <w:rPr>
          <w:rFonts w:cs="Calibri"/>
          <w:color w:val="000000"/>
          <w:sz w:val="24"/>
          <w:szCs w:val="24"/>
        </w:rPr>
        <w:t xml:space="preserve">w myśl </w:t>
      </w:r>
      <w:proofErr w:type="spellStart"/>
      <w:r w:rsidRPr="00D25043">
        <w:rPr>
          <w:rFonts w:cs="Calibri"/>
          <w:color w:val="000000"/>
          <w:sz w:val="24"/>
          <w:szCs w:val="24"/>
        </w:rPr>
        <w:t>Pzp</w:t>
      </w:r>
      <w:proofErr w:type="spellEnd"/>
      <w:r w:rsidRPr="00D25043">
        <w:rPr>
          <w:rFonts w:cs="Calibri"/>
          <w:color w:val="000000"/>
          <w:sz w:val="24"/>
          <w:szCs w:val="24"/>
        </w:rPr>
        <w:t xml:space="preserve"> na stronie internetowej prowadzonego postępowania.</w:t>
      </w:r>
    </w:p>
    <w:p w:rsidR="00C062FD" w:rsidRPr="00D25043" w:rsidRDefault="00C062FD" w:rsidP="00C062FD">
      <w:pPr>
        <w:pStyle w:val="NormalnyWeb"/>
        <w:spacing w:before="0" w:beforeAutospacing="0" w:after="0" w:afterAutospacing="0" w:line="276" w:lineRule="auto"/>
        <w:jc w:val="both"/>
      </w:pPr>
      <w:r w:rsidRPr="00D25043">
        <w:rPr>
          <w:rFonts w:ascii="Calibri" w:hAnsi="Calibri" w:cs="Calibri"/>
        </w:rPr>
        <w:t xml:space="preserve">Oferty należy składać do dnia: </w:t>
      </w:r>
      <w:r w:rsidR="00D25043" w:rsidRPr="00D25043">
        <w:rPr>
          <w:rFonts w:ascii="Calibri" w:hAnsi="Calibri" w:cs="Calibri"/>
          <w:b/>
          <w:highlight w:val="yellow"/>
        </w:rPr>
        <w:t>09.04</w:t>
      </w:r>
      <w:r w:rsidRPr="00D25043">
        <w:rPr>
          <w:rFonts w:ascii="Calibri" w:hAnsi="Calibri" w:cs="Calibri"/>
          <w:b/>
          <w:highlight w:val="yellow"/>
          <w:shd w:val="clear" w:color="auto" w:fill="FFFF00"/>
        </w:rPr>
        <w:t>.2026</w:t>
      </w:r>
      <w:r w:rsidRPr="00D25043">
        <w:rPr>
          <w:rFonts w:ascii="Calibri" w:hAnsi="Calibri" w:cs="Calibri"/>
          <w:b/>
          <w:shd w:val="clear" w:color="auto" w:fill="FFFF00"/>
        </w:rPr>
        <w:t xml:space="preserve"> r. do godz. 10:00.</w:t>
      </w:r>
    </w:p>
    <w:p w:rsidR="00C062FD" w:rsidRPr="00D25043" w:rsidRDefault="00C062FD" w:rsidP="00C062FD">
      <w:pPr>
        <w:pStyle w:val="NormalnyWeb"/>
        <w:spacing w:before="0" w:beforeAutospacing="0" w:after="0" w:afterAutospacing="0" w:line="276" w:lineRule="auto"/>
        <w:jc w:val="both"/>
      </w:pPr>
      <w:r w:rsidRPr="00D25043">
        <w:rPr>
          <w:rFonts w:ascii="Calibri" w:hAnsi="Calibri" w:cs="Calibri"/>
        </w:rPr>
        <w:t xml:space="preserve">Oferty zostaną otwarte dnia:   </w:t>
      </w:r>
      <w:r w:rsidR="00D25043" w:rsidRPr="00D25043">
        <w:rPr>
          <w:rFonts w:ascii="Calibri" w:hAnsi="Calibri" w:cs="Calibri"/>
          <w:b/>
          <w:highlight w:val="yellow"/>
        </w:rPr>
        <w:t>09.04.</w:t>
      </w:r>
      <w:r w:rsidRPr="00D25043">
        <w:rPr>
          <w:rFonts w:ascii="Calibri" w:hAnsi="Calibri" w:cs="Calibri"/>
          <w:b/>
          <w:shd w:val="clear" w:color="auto" w:fill="FFFF00"/>
        </w:rPr>
        <w:t>2026 r.</w:t>
      </w:r>
      <w:r w:rsidRPr="00D25043">
        <w:rPr>
          <w:rFonts w:ascii="Calibri" w:hAnsi="Calibri" w:cs="Calibri"/>
          <w:shd w:val="clear" w:color="auto" w:fill="FFFF00"/>
        </w:rPr>
        <w:t xml:space="preserve"> </w:t>
      </w:r>
      <w:r w:rsidRPr="00D25043">
        <w:rPr>
          <w:rFonts w:ascii="Calibri" w:hAnsi="Calibri" w:cs="Calibri"/>
          <w:b/>
          <w:shd w:val="clear" w:color="auto" w:fill="FFFF00"/>
        </w:rPr>
        <w:t xml:space="preserve">   o godz. 10:</w:t>
      </w:r>
      <w:r w:rsidR="00D25043" w:rsidRPr="00D25043">
        <w:rPr>
          <w:rFonts w:ascii="Calibri" w:hAnsi="Calibri" w:cs="Calibri"/>
          <w:b/>
          <w:shd w:val="clear" w:color="auto" w:fill="FFFF00"/>
        </w:rPr>
        <w:t>0</w:t>
      </w:r>
      <w:r w:rsidRPr="00D25043">
        <w:rPr>
          <w:rFonts w:ascii="Calibri" w:hAnsi="Calibri" w:cs="Calibri"/>
          <w:b/>
          <w:shd w:val="clear" w:color="auto" w:fill="FFFF00"/>
        </w:rPr>
        <w:t>5.</w:t>
      </w:r>
    </w:p>
    <w:p w:rsidR="009A1CBC" w:rsidRDefault="009A1CBC" w:rsidP="008F0150">
      <w:pPr>
        <w:spacing w:after="0" w:line="276" w:lineRule="auto"/>
        <w:jc w:val="both"/>
        <w:rPr>
          <w:rFonts w:eastAsia="Times New Roman" w:cstheme="minorHAnsi"/>
          <w:lang w:eastAsia="pl-PL"/>
        </w:rPr>
      </w:pPr>
    </w:p>
    <w:p w:rsidR="00D25043" w:rsidRPr="009A1CBC" w:rsidRDefault="00D25043" w:rsidP="008F0150">
      <w:pPr>
        <w:spacing w:after="0" w:line="276" w:lineRule="auto"/>
        <w:jc w:val="both"/>
        <w:rPr>
          <w:rFonts w:eastAsia="Times New Roman" w:cstheme="minorHAnsi"/>
          <w:lang w:eastAsia="pl-PL"/>
        </w:rPr>
      </w:pPr>
    </w:p>
    <w:p w:rsidR="00F67EC4" w:rsidRPr="00F67EC4" w:rsidRDefault="00F67EC4" w:rsidP="00F67EC4">
      <w:pPr>
        <w:spacing w:after="0" w:line="276" w:lineRule="auto"/>
        <w:ind w:left="4956" w:firstLine="708"/>
        <w:jc w:val="both"/>
        <w:rPr>
          <w:rFonts w:eastAsia="Times New Roman" w:cstheme="minorHAnsi"/>
          <w:b/>
          <w:lang w:eastAsia="pl-PL"/>
        </w:rPr>
      </w:pPr>
      <w:r w:rsidRPr="00F67EC4">
        <w:rPr>
          <w:rFonts w:eastAsia="Times New Roman" w:cstheme="minorHAnsi"/>
          <w:b/>
          <w:lang w:eastAsia="pl-PL"/>
        </w:rPr>
        <w:t>Wójt Gminy Jordanów Śląski</w:t>
      </w:r>
    </w:p>
    <w:p w:rsidR="00F67EC4" w:rsidRPr="00A03F37" w:rsidRDefault="00F67EC4" w:rsidP="008F0150">
      <w:pPr>
        <w:spacing w:after="0" w:line="276" w:lineRule="auto"/>
        <w:jc w:val="both"/>
        <w:rPr>
          <w:rFonts w:eastAsia="Times New Roman" w:cstheme="minorHAnsi"/>
          <w:b/>
          <w:lang w:eastAsia="pl-PL"/>
        </w:rPr>
      </w:pPr>
      <w:r w:rsidRPr="00F67EC4">
        <w:rPr>
          <w:rFonts w:eastAsia="Times New Roman" w:cstheme="minorHAnsi"/>
          <w:b/>
          <w:lang w:eastAsia="pl-PL"/>
        </w:rPr>
        <w:tab/>
      </w:r>
      <w:r w:rsidRPr="00F67EC4">
        <w:rPr>
          <w:rFonts w:eastAsia="Times New Roman" w:cstheme="minorHAnsi"/>
          <w:b/>
          <w:lang w:eastAsia="pl-PL"/>
        </w:rPr>
        <w:tab/>
      </w:r>
      <w:r w:rsidRPr="00F67EC4">
        <w:rPr>
          <w:rFonts w:eastAsia="Times New Roman" w:cstheme="minorHAnsi"/>
          <w:b/>
          <w:lang w:eastAsia="pl-PL"/>
        </w:rPr>
        <w:tab/>
      </w:r>
      <w:r w:rsidRPr="00F67EC4">
        <w:rPr>
          <w:rFonts w:eastAsia="Times New Roman" w:cstheme="minorHAnsi"/>
          <w:b/>
          <w:lang w:eastAsia="pl-PL"/>
        </w:rPr>
        <w:tab/>
      </w:r>
      <w:r w:rsidRPr="00F67EC4">
        <w:rPr>
          <w:rFonts w:eastAsia="Times New Roman" w:cstheme="minorHAnsi"/>
          <w:b/>
          <w:lang w:eastAsia="pl-PL"/>
        </w:rPr>
        <w:tab/>
      </w:r>
      <w:r w:rsidRPr="00F67EC4">
        <w:rPr>
          <w:rFonts w:eastAsia="Times New Roman" w:cstheme="minorHAnsi"/>
          <w:b/>
          <w:lang w:eastAsia="pl-PL"/>
        </w:rPr>
        <w:tab/>
      </w:r>
      <w:r w:rsidRPr="00F67EC4">
        <w:rPr>
          <w:rFonts w:eastAsia="Times New Roman" w:cstheme="minorHAnsi"/>
          <w:b/>
          <w:lang w:eastAsia="pl-PL"/>
        </w:rPr>
        <w:tab/>
      </w:r>
      <w:r w:rsidRPr="00F67EC4">
        <w:rPr>
          <w:rFonts w:eastAsia="Times New Roman" w:cstheme="minorHAnsi"/>
          <w:b/>
          <w:lang w:eastAsia="pl-PL"/>
        </w:rPr>
        <w:tab/>
      </w:r>
      <w:r w:rsidRPr="00F67EC4">
        <w:rPr>
          <w:rFonts w:eastAsia="Times New Roman" w:cstheme="minorHAnsi"/>
          <w:b/>
          <w:lang w:eastAsia="pl-PL"/>
        </w:rPr>
        <w:tab/>
        <w:t>Paweł Filipczak</w:t>
      </w:r>
    </w:p>
    <w:p w:rsidR="00427E13" w:rsidRPr="00C35401" w:rsidRDefault="00427E13" w:rsidP="00C35401">
      <w:pPr>
        <w:spacing w:after="0" w:line="276" w:lineRule="auto"/>
        <w:jc w:val="both"/>
        <w:rPr>
          <w:rFonts w:cstheme="minorHAnsi"/>
          <w:b/>
        </w:rPr>
      </w:pPr>
    </w:p>
    <w:sectPr w:rsidR="00427E13" w:rsidRPr="00C354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706CA"/>
    <w:multiLevelType w:val="multilevel"/>
    <w:tmpl w:val="5570286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EB1FB2"/>
    <w:multiLevelType w:val="multilevel"/>
    <w:tmpl w:val="3AAA02A2"/>
    <w:styleLink w:val="WWNum46"/>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2" w15:restartNumberingAfterBreak="0">
    <w:nsid w:val="1BFA077A"/>
    <w:multiLevelType w:val="hybridMultilevel"/>
    <w:tmpl w:val="E712463C"/>
    <w:lvl w:ilvl="0" w:tplc="FF96AAA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502BA2"/>
    <w:multiLevelType w:val="hybridMultilevel"/>
    <w:tmpl w:val="F8EE8210"/>
    <w:lvl w:ilvl="0" w:tplc="3940A7A6">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5521DC"/>
    <w:multiLevelType w:val="multilevel"/>
    <w:tmpl w:val="3ECEEE28"/>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7D2396"/>
    <w:multiLevelType w:val="multilevel"/>
    <w:tmpl w:val="E6EC84B8"/>
    <w:styleLink w:val="WWNum43"/>
    <w:lvl w:ilvl="0">
      <w:start w:val="1"/>
      <w:numFmt w:val="decimal"/>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6" w15:restartNumberingAfterBreak="0">
    <w:nsid w:val="20F46D6A"/>
    <w:multiLevelType w:val="multilevel"/>
    <w:tmpl w:val="70A865AC"/>
    <w:styleLink w:val="WWNum5"/>
    <w:lvl w:ilvl="0">
      <w:start w:val="1"/>
      <w:numFmt w:val="decimal"/>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22A707B8"/>
    <w:multiLevelType w:val="multilevel"/>
    <w:tmpl w:val="8862921E"/>
    <w:styleLink w:val="WWNum4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EE4033"/>
    <w:multiLevelType w:val="multilevel"/>
    <w:tmpl w:val="5162B34E"/>
    <w:styleLink w:val="WWNum42"/>
    <w:lvl w:ilvl="0">
      <w:start w:val="1"/>
      <w:numFmt w:val="decimal"/>
      <w:lvlText w:val="%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987A2E"/>
    <w:multiLevelType w:val="hybridMultilevel"/>
    <w:tmpl w:val="0B200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2570E7"/>
    <w:multiLevelType w:val="hybridMultilevel"/>
    <w:tmpl w:val="5ED2FAD8"/>
    <w:lvl w:ilvl="0" w:tplc="C2E8B034">
      <w:start w:val="2"/>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DC6201A"/>
    <w:multiLevelType w:val="hybridMultilevel"/>
    <w:tmpl w:val="7D92E6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BD32954"/>
    <w:multiLevelType w:val="hybridMultilevel"/>
    <w:tmpl w:val="4050B0AA"/>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3" w15:restartNumberingAfterBreak="0">
    <w:nsid w:val="60014D70"/>
    <w:multiLevelType w:val="multilevel"/>
    <w:tmpl w:val="338AB9D8"/>
    <w:styleLink w:val="WWNum22"/>
    <w:lvl w:ilvl="0">
      <w:start w:val="1"/>
      <w:numFmt w:val="upperRoman"/>
      <w:lvlText w:val="%1."/>
      <w:lvlJc w:val="left"/>
      <w:pPr>
        <w:ind w:left="720" w:hanging="641"/>
      </w:pPr>
    </w:lvl>
    <w:lvl w:ilvl="1">
      <w:start w:val="1"/>
      <w:numFmt w:val="decimal"/>
      <w:lvlText w:val="%2."/>
      <w:lvlJc w:val="left"/>
      <w:pPr>
        <w:ind w:left="360" w:hanging="360"/>
      </w:pPr>
      <w:rPr>
        <w:i w:val="0"/>
        <w:strike w:val="0"/>
        <w:dstrike w:val="0"/>
      </w:rPr>
    </w:lvl>
    <w:lvl w:ilvl="2">
      <w:start w:val="1"/>
      <w:numFmt w:val="decimal"/>
      <w:lvlText w:val="%3."/>
      <w:lvlJc w:val="left"/>
      <w:pPr>
        <w:ind w:left="1440" w:hanging="360"/>
      </w:pPr>
    </w:lvl>
    <w:lvl w:ilvl="3">
      <w:start w:val="1"/>
      <w:numFmt w:val="decimal"/>
      <w:lvlText w:val="%4."/>
      <w:lvlJc w:val="left"/>
      <w:pPr>
        <w:ind w:left="1800" w:hanging="360"/>
      </w:pPr>
      <w:rPr>
        <w:b/>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65554276"/>
    <w:multiLevelType w:val="multilevel"/>
    <w:tmpl w:val="D8F4C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BD693B"/>
    <w:multiLevelType w:val="hybridMultilevel"/>
    <w:tmpl w:val="9494619C"/>
    <w:lvl w:ilvl="0" w:tplc="84F6764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6B8651F4"/>
    <w:multiLevelType w:val="multilevel"/>
    <w:tmpl w:val="A1EA0B52"/>
    <w:styleLink w:val="WWNum5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FCE008E"/>
    <w:multiLevelType w:val="multilevel"/>
    <w:tmpl w:val="E14A5626"/>
    <w:styleLink w:val="WWNum6"/>
    <w:lvl w:ilvl="0">
      <w:start w:val="1"/>
      <w:numFmt w:val="decimal"/>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709C638A"/>
    <w:multiLevelType w:val="hybridMultilevel"/>
    <w:tmpl w:val="B0A06D2A"/>
    <w:lvl w:ilvl="0" w:tplc="4E14E92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5BE575D"/>
    <w:multiLevelType w:val="hybridMultilevel"/>
    <w:tmpl w:val="DCA2B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DF4495B"/>
    <w:multiLevelType w:val="multilevel"/>
    <w:tmpl w:val="CBCCF4D6"/>
    <w:styleLink w:val="WWNum3"/>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
  </w:num>
  <w:num w:numId="4">
    <w:abstractNumId w:val="8"/>
  </w:num>
  <w:num w:numId="5">
    <w:abstractNumId w:val="5"/>
  </w:num>
  <w:num w:numId="6">
    <w:abstractNumId w:val="4"/>
  </w:num>
  <w:num w:numId="7">
    <w:abstractNumId w:val="1"/>
  </w:num>
  <w:num w:numId="8">
    <w:abstractNumId w:val="7"/>
  </w:num>
  <w:num w:numId="9">
    <w:abstractNumId w:val="5"/>
    <w:lvlOverride w:ilvl="0">
      <w:startOverride w:val="1"/>
    </w:lvlOverride>
  </w:num>
  <w:num w:numId="10">
    <w:abstractNumId w:val="4"/>
    <w:lvlOverride w:ilvl="0">
      <w:startOverride w:val="1"/>
    </w:lvlOverride>
  </w:num>
  <w:num w:numId="11">
    <w:abstractNumId w:val="1"/>
    <w:lvlOverride w:ilvl="0">
      <w:startOverride w:val="1"/>
    </w:lvlOverride>
  </w:num>
  <w:num w:numId="12">
    <w:abstractNumId w:val="7"/>
    <w:lvlOverride w:ilvl="0">
      <w:startOverride w:val="1"/>
    </w:lvlOverride>
  </w:num>
  <w:num w:numId="13">
    <w:abstractNumId w:val="12"/>
  </w:num>
  <w:num w:numId="14">
    <w:abstractNumId w:val="20"/>
  </w:num>
  <w:num w:numId="15">
    <w:abstractNumId w:val="13"/>
  </w:num>
  <w:num w:numId="16">
    <w:abstractNumId w:val="0"/>
  </w:num>
  <w:num w:numId="17">
    <w:abstractNumId w:val="16"/>
  </w:num>
  <w:num w:numId="18">
    <w:abstractNumId w:val="16"/>
    <w:lvlOverride w:ilvl="0">
      <w:startOverride w:val="1"/>
    </w:lvlOverride>
  </w:num>
  <w:num w:numId="19">
    <w:abstractNumId w:val="14"/>
  </w:num>
  <w:num w:numId="20">
    <w:abstractNumId w:val="17"/>
  </w:num>
  <w:num w:numId="21">
    <w:abstractNumId w:val="18"/>
  </w:num>
  <w:num w:numId="22">
    <w:abstractNumId w:val="19"/>
  </w:num>
  <w:num w:numId="23">
    <w:abstractNumId w:val="6"/>
  </w:num>
  <w:num w:numId="24">
    <w:abstractNumId w:val="8"/>
    <w:lvlOverride w:ilvl="0">
      <w:startOverride w:val="1"/>
    </w:lvlOverride>
  </w:num>
  <w:num w:numId="25">
    <w:abstractNumId w:val="3"/>
  </w:num>
  <w:num w:numId="26">
    <w:abstractNumId w:val="10"/>
  </w:num>
  <w:num w:numId="27">
    <w:abstractNumId w:val="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8C"/>
    <w:rsid w:val="00025620"/>
    <w:rsid w:val="000B7F7B"/>
    <w:rsid w:val="000F667F"/>
    <w:rsid w:val="001364A0"/>
    <w:rsid w:val="001754D5"/>
    <w:rsid w:val="00185A62"/>
    <w:rsid w:val="001D0B3B"/>
    <w:rsid w:val="00203F8C"/>
    <w:rsid w:val="00250916"/>
    <w:rsid w:val="00315BCA"/>
    <w:rsid w:val="00317810"/>
    <w:rsid w:val="00427E13"/>
    <w:rsid w:val="0058247F"/>
    <w:rsid w:val="00606725"/>
    <w:rsid w:val="006456D1"/>
    <w:rsid w:val="006845A6"/>
    <w:rsid w:val="00740741"/>
    <w:rsid w:val="00786E6F"/>
    <w:rsid w:val="007B7CFD"/>
    <w:rsid w:val="00872879"/>
    <w:rsid w:val="00875815"/>
    <w:rsid w:val="008A3363"/>
    <w:rsid w:val="008A500B"/>
    <w:rsid w:val="008F0150"/>
    <w:rsid w:val="009265EC"/>
    <w:rsid w:val="00966ADB"/>
    <w:rsid w:val="009A0307"/>
    <w:rsid w:val="009A1CBC"/>
    <w:rsid w:val="009A3601"/>
    <w:rsid w:val="009D1951"/>
    <w:rsid w:val="009F022F"/>
    <w:rsid w:val="00A03F37"/>
    <w:rsid w:val="00A36747"/>
    <w:rsid w:val="00AE4431"/>
    <w:rsid w:val="00AF030B"/>
    <w:rsid w:val="00B71C17"/>
    <w:rsid w:val="00BA6E19"/>
    <w:rsid w:val="00C062FD"/>
    <w:rsid w:val="00C35401"/>
    <w:rsid w:val="00C4194E"/>
    <w:rsid w:val="00CB3596"/>
    <w:rsid w:val="00D25043"/>
    <w:rsid w:val="00D446BC"/>
    <w:rsid w:val="00D72DD0"/>
    <w:rsid w:val="00D935A3"/>
    <w:rsid w:val="00F67E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59C77B-BCFD-4AA0-B2F0-C95410ED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203F8C"/>
    <w:pPr>
      <w:ind w:left="720"/>
      <w:contextualSpacing/>
    </w:pPr>
  </w:style>
  <w:style w:type="character" w:styleId="Hipercze">
    <w:name w:val="Hyperlink"/>
    <w:basedOn w:val="Domylnaczcionkaakapitu"/>
    <w:uiPriority w:val="99"/>
    <w:unhideWhenUsed/>
    <w:rsid w:val="00875815"/>
    <w:rPr>
      <w:color w:val="0563C1" w:themeColor="hyperlink"/>
      <w:u w:val="single"/>
    </w:rPr>
  </w:style>
  <w:style w:type="paragraph" w:customStyle="1" w:styleId="default">
    <w:name w:val="default"/>
    <w:basedOn w:val="Normalny"/>
    <w:rsid w:val="00875815"/>
    <w:pPr>
      <w:autoSpaceDE w:val="0"/>
      <w:autoSpaceDN w:val="0"/>
      <w:spacing w:after="0" w:line="240" w:lineRule="auto"/>
    </w:pPr>
    <w:rPr>
      <w:rFonts w:ascii="Calibri" w:hAnsi="Calibri" w:cs="Calibri"/>
      <w:color w:val="000000"/>
      <w:sz w:val="24"/>
      <w:szCs w:val="24"/>
      <w:lang w:eastAsia="pl-PL"/>
    </w:rPr>
  </w:style>
  <w:style w:type="paragraph" w:styleId="NormalnyWeb">
    <w:name w:val="Normal (Web)"/>
    <w:basedOn w:val="Normalny"/>
    <w:uiPriority w:val="99"/>
    <w:unhideWhenUsed/>
    <w:rsid w:val="008728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72879"/>
    <w:rPr>
      <w:b/>
      <w:bCs/>
    </w:rPr>
  </w:style>
  <w:style w:type="paragraph" w:customStyle="1" w:styleId="Standard">
    <w:name w:val="Standard"/>
    <w:rsid w:val="0058247F"/>
    <w:pPr>
      <w:suppressAutoHyphens/>
      <w:autoSpaceDN w:val="0"/>
      <w:spacing w:after="200" w:line="276" w:lineRule="auto"/>
      <w:textAlignment w:val="baseline"/>
    </w:pPr>
    <w:rPr>
      <w:rFonts w:ascii="Calibri" w:eastAsia="F" w:hAnsi="Calibri" w:cs="F"/>
      <w:lang w:eastAsia="pl-PL"/>
    </w:rPr>
  </w:style>
  <w:style w:type="character" w:customStyle="1" w:styleId="Internetlink">
    <w:name w:val="Internet link"/>
    <w:basedOn w:val="Domylnaczcionkaakapitu"/>
    <w:rsid w:val="0058247F"/>
    <w:rPr>
      <w:color w:val="0000FF"/>
      <w:u w:val="single"/>
    </w:rPr>
  </w:style>
  <w:style w:type="numbering" w:customStyle="1" w:styleId="WWNum42">
    <w:name w:val="WWNum42"/>
    <w:basedOn w:val="Bezlisty"/>
    <w:rsid w:val="0058247F"/>
    <w:pPr>
      <w:numPr>
        <w:numId w:val="4"/>
      </w:numPr>
    </w:pPr>
  </w:style>
  <w:style w:type="numbering" w:customStyle="1" w:styleId="WWNum43">
    <w:name w:val="WWNum43"/>
    <w:basedOn w:val="Bezlisty"/>
    <w:rsid w:val="0058247F"/>
    <w:pPr>
      <w:numPr>
        <w:numId w:val="5"/>
      </w:numPr>
    </w:pPr>
  </w:style>
  <w:style w:type="numbering" w:customStyle="1" w:styleId="WWNum45">
    <w:name w:val="WWNum45"/>
    <w:basedOn w:val="Bezlisty"/>
    <w:rsid w:val="0058247F"/>
    <w:pPr>
      <w:numPr>
        <w:numId w:val="6"/>
      </w:numPr>
    </w:pPr>
  </w:style>
  <w:style w:type="numbering" w:customStyle="1" w:styleId="WWNum46">
    <w:name w:val="WWNum46"/>
    <w:basedOn w:val="Bezlisty"/>
    <w:rsid w:val="0058247F"/>
    <w:pPr>
      <w:numPr>
        <w:numId w:val="7"/>
      </w:numPr>
    </w:pPr>
  </w:style>
  <w:style w:type="numbering" w:customStyle="1" w:styleId="WWNum47">
    <w:name w:val="WWNum47"/>
    <w:basedOn w:val="Bezlisty"/>
    <w:rsid w:val="0058247F"/>
    <w:pPr>
      <w:numPr>
        <w:numId w:val="8"/>
      </w:numPr>
    </w:pPr>
  </w:style>
  <w:style w:type="paragraph" w:customStyle="1" w:styleId="StandardWW">
    <w:name w:val="Standard (WW)"/>
    <w:rsid w:val="00185A62"/>
    <w:pPr>
      <w:widowControl w:val="0"/>
      <w:suppressAutoHyphens/>
      <w:autoSpaceDN w:val="0"/>
      <w:spacing w:after="200" w:line="276" w:lineRule="auto"/>
      <w:textAlignment w:val="baseline"/>
    </w:pPr>
    <w:rPr>
      <w:rFonts w:ascii="Calibri" w:eastAsia="SimSun" w:hAnsi="Calibri" w:cs="Tahoma"/>
      <w:kern w:val="3"/>
      <w:lang w:eastAsia="zh-CN"/>
    </w:rPr>
  </w:style>
  <w:style w:type="numbering" w:customStyle="1" w:styleId="WWNum3">
    <w:name w:val="WWNum3"/>
    <w:basedOn w:val="Bezlisty"/>
    <w:rsid w:val="00185A62"/>
    <w:pPr>
      <w:numPr>
        <w:numId w:val="14"/>
      </w:numPr>
    </w:pPr>
  </w:style>
  <w:style w:type="numbering" w:customStyle="1" w:styleId="WWNum22">
    <w:name w:val="WWNum22"/>
    <w:basedOn w:val="Bezlisty"/>
    <w:rsid w:val="00185A62"/>
    <w:pPr>
      <w:numPr>
        <w:numId w:val="15"/>
      </w:numPr>
    </w:pPr>
  </w:style>
  <w:style w:type="numbering" w:customStyle="1" w:styleId="WWNum23">
    <w:name w:val="WWNum23"/>
    <w:basedOn w:val="Bezlisty"/>
    <w:rsid w:val="00185A62"/>
    <w:pPr>
      <w:numPr>
        <w:numId w:val="16"/>
      </w:numPr>
    </w:pPr>
  </w:style>
  <w:style w:type="numbering" w:customStyle="1" w:styleId="WWNum52">
    <w:name w:val="WWNum52"/>
    <w:basedOn w:val="Bezlisty"/>
    <w:rsid w:val="00185A62"/>
    <w:pPr>
      <w:numPr>
        <w:numId w:val="17"/>
      </w:numPr>
    </w:pPr>
  </w:style>
  <w:style w:type="numbering" w:customStyle="1" w:styleId="WWNum6">
    <w:name w:val="WWNum6"/>
    <w:basedOn w:val="Bezlisty"/>
    <w:rsid w:val="00427E13"/>
    <w:pPr>
      <w:numPr>
        <w:numId w:val="20"/>
      </w:numPr>
    </w:pPr>
  </w:style>
  <w:style w:type="numbering" w:customStyle="1" w:styleId="WWNum5">
    <w:name w:val="WWNum5"/>
    <w:basedOn w:val="Bezlisty"/>
    <w:rsid w:val="00427E13"/>
    <w:pPr>
      <w:numPr>
        <w:numId w:val="23"/>
      </w:numPr>
    </w:pPr>
  </w:style>
  <w:style w:type="paragraph" w:styleId="Tekstdymka">
    <w:name w:val="Balloon Text"/>
    <w:basedOn w:val="Normalny"/>
    <w:link w:val="TekstdymkaZnak"/>
    <w:uiPriority w:val="99"/>
    <w:semiHidden/>
    <w:unhideWhenUsed/>
    <w:rsid w:val="00315B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5B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036229">
      <w:bodyDiv w:val="1"/>
      <w:marLeft w:val="0"/>
      <w:marRight w:val="0"/>
      <w:marTop w:val="0"/>
      <w:marBottom w:val="0"/>
      <w:divBdr>
        <w:top w:val="none" w:sz="0" w:space="0" w:color="auto"/>
        <w:left w:val="none" w:sz="0" w:space="0" w:color="auto"/>
        <w:bottom w:val="none" w:sz="0" w:space="0" w:color="auto"/>
        <w:right w:val="none" w:sz="0" w:space="0" w:color="auto"/>
      </w:divBdr>
    </w:div>
    <w:div w:id="585264416">
      <w:bodyDiv w:val="1"/>
      <w:marLeft w:val="0"/>
      <w:marRight w:val="0"/>
      <w:marTop w:val="0"/>
      <w:marBottom w:val="0"/>
      <w:divBdr>
        <w:top w:val="none" w:sz="0" w:space="0" w:color="auto"/>
        <w:left w:val="none" w:sz="0" w:space="0" w:color="auto"/>
        <w:bottom w:val="none" w:sz="0" w:space="0" w:color="auto"/>
        <w:right w:val="none" w:sz="0" w:space="0" w:color="auto"/>
      </w:divBdr>
    </w:div>
    <w:div w:id="737676309">
      <w:bodyDiv w:val="1"/>
      <w:marLeft w:val="0"/>
      <w:marRight w:val="0"/>
      <w:marTop w:val="0"/>
      <w:marBottom w:val="0"/>
      <w:divBdr>
        <w:top w:val="none" w:sz="0" w:space="0" w:color="auto"/>
        <w:left w:val="none" w:sz="0" w:space="0" w:color="auto"/>
        <w:bottom w:val="none" w:sz="0" w:space="0" w:color="auto"/>
        <w:right w:val="none" w:sz="0" w:space="0" w:color="auto"/>
      </w:divBdr>
    </w:div>
    <w:div w:id="1498768706">
      <w:bodyDiv w:val="1"/>
      <w:marLeft w:val="0"/>
      <w:marRight w:val="0"/>
      <w:marTop w:val="0"/>
      <w:marBottom w:val="0"/>
      <w:divBdr>
        <w:top w:val="none" w:sz="0" w:space="0" w:color="auto"/>
        <w:left w:val="none" w:sz="0" w:space="0" w:color="auto"/>
        <w:bottom w:val="none" w:sz="0" w:space="0" w:color="auto"/>
        <w:right w:val="none" w:sz="0" w:space="0" w:color="auto"/>
      </w:divBdr>
    </w:div>
    <w:div w:id="2038578311">
      <w:bodyDiv w:val="1"/>
      <w:marLeft w:val="0"/>
      <w:marRight w:val="0"/>
      <w:marTop w:val="0"/>
      <w:marBottom w:val="0"/>
      <w:divBdr>
        <w:top w:val="none" w:sz="0" w:space="0" w:color="auto"/>
        <w:left w:val="none" w:sz="0" w:space="0" w:color="auto"/>
        <w:bottom w:val="none" w:sz="0" w:space="0" w:color="auto"/>
        <w:right w:val="none" w:sz="0" w:space="0" w:color="auto"/>
      </w:divBdr>
      <w:divsChild>
        <w:div w:id="231307653">
          <w:marLeft w:val="0"/>
          <w:marRight w:val="0"/>
          <w:marTop w:val="0"/>
          <w:marBottom w:val="0"/>
          <w:divBdr>
            <w:top w:val="none" w:sz="0" w:space="0" w:color="auto"/>
            <w:left w:val="none" w:sz="0" w:space="0" w:color="auto"/>
            <w:bottom w:val="none" w:sz="0" w:space="0" w:color="auto"/>
            <w:right w:val="none" w:sz="0" w:space="0" w:color="auto"/>
          </w:divBdr>
        </w:div>
        <w:div w:id="387415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6985" TargetMode="External"/><Relationship Id="rId3" Type="http://schemas.openxmlformats.org/officeDocument/2006/relationships/settings" Target="settings.xml"/><Relationship Id="rId7" Type="http://schemas.openxmlformats.org/officeDocument/2006/relationships/hyperlink" Target="https://insp.pl/instytut-insp/jednostki-organizacyjne/zespol-certyfikac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3435</Words>
  <Characters>20610</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Mazur</dc:creator>
  <cp:keywords/>
  <dc:description/>
  <cp:lastModifiedBy>Marta Mazur</cp:lastModifiedBy>
  <cp:revision>2</cp:revision>
  <cp:lastPrinted>2026-01-09T12:45:00Z</cp:lastPrinted>
  <dcterms:created xsi:type="dcterms:W3CDTF">2026-04-02T11:32:00Z</dcterms:created>
  <dcterms:modified xsi:type="dcterms:W3CDTF">2026-04-02T11:32:00Z</dcterms:modified>
</cp:coreProperties>
</file>